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5382"/>
        <w:gridCol w:w="3680"/>
      </w:tblGrid>
      <w:tr w:rsidR="007C6E7E" w14:paraId="176F89F1" w14:textId="77777777" w:rsidTr="00435806">
        <w:tc>
          <w:tcPr>
            <w:tcW w:w="5382" w:type="dxa"/>
            <w:tcBorders>
              <w:top w:val="nil"/>
              <w:left w:val="nil"/>
              <w:bottom w:val="nil"/>
              <w:right w:val="nil"/>
            </w:tcBorders>
          </w:tcPr>
          <w:p w14:paraId="1B2BB853" w14:textId="77777777" w:rsidR="007C6E7E" w:rsidRDefault="007C6E7E" w:rsidP="00D9762F">
            <w:pPr>
              <w:spacing w:after="160"/>
              <w:rPr>
                <w:b/>
                <w:sz w:val="38"/>
                <w:szCs w:val="38"/>
              </w:rPr>
            </w:pPr>
            <w:r w:rsidRPr="007C6E7E">
              <w:rPr>
                <w:b/>
                <w:sz w:val="38"/>
                <w:szCs w:val="38"/>
              </w:rPr>
              <w:t>Neues aus Berlin – Justizbereich</w:t>
            </w:r>
          </w:p>
        </w:tc>
        <w:tc>
          <w:tcPr>
            <w:tcW w:w="3680" w:type="dxa"/>
            <w:vMerge w:val="restart"/>
            <w:tcBorders>
              <w:top w:val="nil"/>
              <w:left w:val="nil"/>
              <w:right w:val="nil"/>
            </w:tcBorders>
          </w:tcPr>
          <w:p w14:paraId="774B1B9F" w14:textId="77777777" w:rsidR="007C6E7E" w:rsidRDefault="00F6260C" w:rsidP="00D9762F">
            <w:pPr>
              <w:spacing w:after="160"/>
              <w:jc w:val="right"/>
              <w:rPr>
                <w:b/>
                <w:sz w:val="38"/>
                <w:szCs w:val="38"/>
              </w:rPr>
            </w:pPr>
            <w:r>
              <w:rPr>
                <w:noProof/>
                <w:lang w:eastAsia="de-DE"/>
              </w:rPr>
              <w:drawing>
                <wp:inline distT="0" distB="0" distL="0" distR="0" wp14:anchorId="336EE3DC" wp14:editId="40283CC6">
                  <wp:extent cx="2188272" cy="6762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1458" cy="686531"/>
                          </a:xfrm>
                          <a:prstGeom prst="rect">
                            <a:avLst/>
                          </a:prstGeom>
                          <a:noFill/>
                          <a:ln>
                            <a:noFill/>
                          </a:ln>
                        </pic:spPr>
                      </pic:pic>
                    </a:graphicData>
                  </a:graphic>
                </wp:inline>
              </w:drawing>
            </w:r>
          </w:p>
        </w:tc>
      </w:tr>
      <w:tr w:rsidR="007C6E7E" w14:paraId="0CDD0E50" w14:textId="77777777" w:rsidTr="00435806">
        <w:tc>
          <w:tcPr>
            <w:tcW w:w="5382" w:type="dxa"/>
            <w:tcBorders>
              <w:top w:val="nil"/>
              <w:left w:val="nil"/>
              <w:bottom w:val="single" w:sz="4" w:space="0" w:color="auto"/>
              <w:right w:val="nil"/>
            </w:tcBorders>
          </w:tcPr>
          <w:p w14:paraId="2D0B9AAC" w14:textId="77777777" w:rsidR="007C6E7E" w:rsidRDefault="007C6E7E" w:rsidP="00D9762F">
            <w:pPr>
              <w:spacing w:after="160"/>
            </w:pPr>
            <w:r w:rsidRPr="007C6E7E">
              <w:t>Vertretung des Landes Nordrhein-Westfalen beim Bund</w:t>
            </w:r>
            <w:r w:rsidRPr="007C6E7E">
              <w:br/>
            </w:r>
          </w:p>
          <w:p w14:paraId="31399433" w14:textId="77777777" w:rsidR="00A96060" w:rsidRPr="007C6E7E" w:rsidRDefault="00A96060" w:rsidP="00D9762F">
            <w:pPr>
              <w:spacing w:after="160"/>
            </w:pPr>
          </w:p>
        </w:tc>
        <w:tc>
          <w:tcPr>
            <w:tcW w:w="3680" w:type="dxa"/>
            <w:vMerge/>
            <w:tcBorders>
              <w:left w:val="nil"/>
              <w:bottom w:val="single" w:sz="4" w:space="0" w:color="auto"/>
              <w:right w:val="nil"/>
            </w:tcBorders>
          </w:tcPr>
          <w:p w14:paraId="08F72898" w14:textId="77777777" w:rsidR="007C6E7E" w:rsidRDefault="007C6E7E" w:rsidP="00D9762F">
            <w:pPr>
              <w:spacing w:after="160"/>
              <w:rPr>
                <w:b/>
                <w:sz w:val="38"/>
                <w:szCs w:val="38"/>
              </w:rPr>
            </w:pPr>
          </w:p>
        </w:tc>
      </w:tr>
      <w:tr w:rsidR="007C6E7E" w14:paraId="5BC931AF" w14:textId="77777777" w:rsidTr="007C6E7E">
        <w:tc>
          <w:tcPr>
            <w:tcW w:w="9062" w:type="dxa"/>
            <w:gridSpan w:val="2"/>
            <w:tcBorders>
              <w:top w:val="single" w:sz="4" w:space="0" w:color="auto"/>
              <w:left w:val="nil"/>
              <w:right w:val="nil"/>
            </w:tcBorders>
          </w:tcPr>
          <w:p w14:paraId="177AC44B" w14:textId="1F74C015" w:rsidR="007C6E7E" w:rsidRDefault="007F104B" w:rsidP="00CE5B08">
            <w:pPr>
              <w:spacing w:after="160"/>
              <w:jc w:val="center"/>
              <w:rPr>
                <w:b/>
                <w:sz w:val="38"/>
                <w:szCs w:val="38"/>
              </w:rPr>
            </w:pPr>
            <w:r>
              <w:rPr>
                <w:b/>
                <w:sz w:val="36"/>
                <w:szCs w:val="36"/>
              </w:rPr>
              <w:t>März bis April</w:t>
            </w:r>
            <w:r w:rsidR="00A16ABA">
              <w:rPr>
                <w:b/>
                <w:sz w:val="36"/>
                <w:szCs w:val="36"/>
              </w:rPr>
              <w:t xml:space="preserve"> 202</w:t>
            </w:r>
            <w:r w:rsidR="00A023EB">
              <w:rPr>
                <w:b/>
                <w:sz w:val="36"/>
                <w:szCs w:val="36"/>
              </w:rPr>
              <w:t>6</w:t>
            </w:r>
          </w:p>
        </w:tc>
      </w:tr>
    </w:tbl>
    <w:p w14:paraId="5083E881" w14:textId="77777777" w:rsidR="007C6E7E" w:rsidRPr="00AB61DB" w:rsidRDefault="007C6E7E" w:rsidP="00D9762F">
      <w:pPr>
        <w:rPr>
          <w:b/>
          <w:sz w:val="18"/>
          <w:szCs w:val="18"/>
        </w:rPr>
      </w:pPr>
    </w:p>
    <w:p w14:paraId="6F7B8636" w14:textId="77777777" w:rsidR="007C6E7E" w:rsidRPr="00AB61DB" w:rsidRDefault="00AB61DB" w:rsidP="00D9762F">
      <w:pPr>
        <w:shd w:val="clear" w:color="auto" w:fill="D9D9D9" w:themeFill="background1" w:themeFillShade="D9"/>
        <w:jc w:val="center"/>
        <w:rPr>
          <w:b/>
          <w:sz w:val="32"/>
          <w:szCs w:val="32"/>
        </w:rPr>
      </w:pPr>
      <w:r w:rsidRPr="00AB61DB">
        <w:rPr>
          <w:b/>
          <w:sz w:val="32"/>
          <w:szCs w:val="32"/>
        </w:rPr>
        <w:t>Bundesrat</w:t>
      </w:r>
    </w:p>
    <w:p w14:paraId="76675F51" w14:textId="1FE432D3" w:rsidR="00F90306" w:rsidRDefault="00F90306" w:rsidP="00F90306">
      <w:r w:rsidRPr="00341284">
        <w:t xml:space="preserve">Der Bundesrat hat </w:t>
      </w:r>
      <w:r w:rsidR="004860C7">
        <w:t>sich in den Monaten März und April</w:t>
      </w:r>
      <w:r w:rsidR="00CF629A">
        <w:t xml:space="preserve"> </w:t>
      </w:r>
      <w:r>
        <w:t>mit einer Vielzahl rechtspolitischer</w:t>
      </w:r>
      <w:r w:rsidRPr="00341284">
        <w:t xml:space="preserve"> Vorhaben beschäftigt</w:t>
      </w:r>
      <w:r>
        <w:t xml:space="preserve">. </w:t>
      </w:r>
      <w:r w:rsidRPr="00341284">
        <w:t xml:space="preserve">Nachfolgend werden die Vorhaben mit justizrelevanten Regelungen dargestellt. </w:t>
      </w:r>
    </w:p>
    <w:p w14:paraId="6E08B504" w14:textId="5F155DE0" w:rsidR="007F104B" w:rsidRDefault="007F104B" w:rsidP="007F104B">
      <w:pPr>
        <w:shd w:val="clear" w:color="auto" w:fill="F2F2F2" w:themeFill="background1" w:themeFillShade="F2"/>
        <w:rPr>
          <w:b/>
          <w:sz w:val="24"/>
          <w:szCs w:val="24"/>
        </w:rPr>
      </w:pPr>
      <w:r>
        <w:rPr>
          <w:b/>
          <w:sz w:val="24"/>
          <w:szCs w:val="24"/>
        </w:rPr>
        <w:t>1.062</w:t>
      </w:r>
      <w:r w:rsidRPr="000B373F">
        <w:rPr>
          <w:b/>
          <w:sz w:val="24"/>
          <w:szCs w:val="24"/>
        </w:rPr>
        <w:t xml:space="preserve">. Plenarsitzung am </w:t>
      </w:r>
      <w:r>
        <w:rPr>
          <w:b/>
          <w:sz w:val="24"/>
          <w:szCs w:val="24"/>
        </w:rPr>
        <w:t>06. März 2026</w:t>
      </w:r>
    </w:p>
    <w:p w14:paraId="18C65717" w14:textId="77777777" w:rsidR="00437669" w:rsidRDefault="00437669" w:rsidP="00437669">
      <w:pPr>
        <w:pBdr>
          <w:top w:val="single" w:sz="4" w:space="1" w:color="auto"/>
          <w:left w:val="single" w:sz="4" w:space="4" w:color="auto"/>
          <w:bottom w:val="single" w:sz="4" w:space="1" w:color="auto"/>
          <w:right w:val="single" w:sz="4" w:space="4" w:color="auto"/>
        </w:pBdr>
        <w:rPr>
          <w:rFonts w:ascii="OpenSans" w:hAnsi="OpenSans" w:cs="OpenSans"/>
        </w:rPr>
      </w:pPr>
      <w:r w:rsidRPr="00437669">
        <w:rPr>
          <w:rFonts w:ascii="OpenSans" w:hAnsi="OpenSans" w:cs="OpenSans"/>
        </w:rPr>
        <w:t xml:space="preserve">Gesetz zur </w:t>
      </w:r>
      <w:r w:rsidRPr="00437669">
        <w:rPr>
          <w:rFonts w:ascii="OpenSans" w:hAnsi="OpenSans" w:cs="OpenSans"/>
          <w:b/>
          <w:bCs/>
        </w:rPr>
        <w:t>Umsetzung der Richtlinie (EU) 2017/541 zu</w:t>
      </w:r>
      <w:r w:rsidRPr="00437669">
        <w:rPr>
          <w:rFonts w:ascii="OpenSans" w:hAnsi="OpenSans" w:cs="OpenSans"/>
          <w:b/>
          <w:bCs/>
        </w:rPr>
        <w:t xml:space="preserve">r </w:t>
      </w:r>
      <w:r w:rsidRPr="00437669">
        <w:rPr>
          <w:rFonts w:ascii="OpenSans" w:hAnsi="OpenSans" w:cs="OpenSans"/>
          <w:b/>
          <w:bCs/>
        </w:rPr>
        <w:t>Terrorismusbekämpfung und zur Anpassung des</w:t>
      </w:r>
      <w:r w:rsidRPr="00437669">
        <w:rPr>
          <w:rFonts w:ascii="OpenSans" w:hAnsi="OpenSans" w:cs="OpenSans"/>
          <w:b/>
          <w:bCs/>
        </w:rPr>
        <w:t xml:space="preserve"> </w:t>
      </w:r>
      <w:r w:rsidRPr="00437669">
        <w:rPr>
          <w:rFonts w:ascii="OpenSans" w:hAnsi="OpenSans" w:cs="OpenSans"/>
          <w:b/>
          <w:bCs/>
        </w:rPr>
        <w:t>Strafrahmens bei geheimdienstlicher Agententätigkeit</w:t>
      </w:r>
    </w:p>
    <w:p w14:paraId="48921251" w14:textId="47DB42F8" w:rsidR="00437669" w:rsidRDefault="00437669" w:rsidP="00437669">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Pr>
          <w:rFonts w:cstheme="minorHAnsi"/>
          <w:color w:val="000000" w:themeColor="text1"/>
        </w:rPr>
        <w:t>82/26</w:t>
      </w:r>
    </w:p>
    <w:p w14:paraId="51BF4B4B" w14:textId="06892232" w:rsidR="007F104B" w:rsidRDefault="00437669" w:rsidP="00437669">
      <w:pPr>
        <w:autoSpaceDE w:val="0"/>
        <w:autoSpaceDN w:val="0"/>
        <w:adjustRightInd w:val="0"/>
        <w:spacing w:after="0" w:line="240" w:lineRule="auto"/>
        <w:rPr>
          <w:rFonts w:ascii="OpenSans" w:hAnsi="OpenSans" w:cs="OpenSans"/>
        </w:rPr>
      </w:pPr>
      <w:r>
        <w:rPr>
          <w:rFonts w:ascii="OpenSans" w:hAnsi="OpenSans" w:cs="OpenSans"/>
        </w:rPr>
        <w:t>Der Bundesrat rief den Vermittlungsausschuss nicht</w:t>
      </w:r>
      <w:r>
        <w:rPr>
          <w:rFonts w:ascii="OpenSans" w:hAnsi="OpenSans" w:cs="OpenSans"/>
        </w:rPr>
        <w:t xml:space="preserve"> </w:t>
      </w:r>
      <w:r>
        <w:rPr>
          <w:rFonts w:ascii="OpenSans" w:hAnsi="OpenSans" w:cs="OpenSans"/>
        </w:rPr>
        <w:t>an.</w:t>
      </w:r>
    </w:p>
    <w:p w14:paraId="55F18CFD" w14:textId="2EBAA1EC" w:rsidR="00437669" w:rsidRDefault="00437669" w:rsidP="00437669">
      <w:pPr>
        <w:autoSpaceDE w:val="0"/>
        <w:autoSpaceDN w:val="0"/>
        <w:adjustRightInd w:val="0"/>
        <w:spacing w:after="0" w:line="240" w:lineRule="auto"/>
        <w:rPr>
          <w:rFonts w:ascii="OpenSans" w:hAnsi="OpenSans" w:cs="OpenSans"/>
        </w:rPr>
      </w:pPr>
    </w:p>
    <w:p w14:paraId="52DD4372" w14:textId="507EBDC1" w:rsidR="005426FE" w:rsidRDefault="005426FE" w:rsidP="005426FE">
      <w:pPr>
        <w:autoSpaceDE w:val="0"/>
        <w:autoSpaceDN w:val="0"/>
        <w:adjustRightInd w:val="0"/>
        <w:spacing w:after="0" w:line="240" w:lineRule="auto"/>
        <w:rPr>
          <w:rFonts w:ascii="OpenSans" w:hAnsi="OpenSans" w:cs="OpenSans"/>
        </w:rPr>
      </w:pPr>
      <w:r>
        <w:rPr>
          <w:rFonts w:ascii="OpenSans" w:hAnsi="OpenSans" w:cs="OpenSans"/>
        </w:rPr>
        <w:t>D</w:t>
      </w:r>
      <w:r>
        <w:rPr>
          <w:rFonts w:ascii="OpenSans" w:hAnsi="OpenSans" w:cs="OpenSans"/>
        </w:rPr>
        <w:t>as Gesetz</w:t>
      </w:r>
      <w:r>
        <w:rPr>
          <w:rFonts w:ascii="OpenSans" w:hAnsi="OpenSans" w:cs="OpenSans"/>
        </w:rPr>
        <w:t xml:space="preserve">, mit dem die Richtlinie (EU) 2017/541 Terrorismusbekämpfung in deutsches Recht umgesetzt wird, </w:t>
      </w:r>
      <w:r w:rsidRPr="005426FE">
        <w:rPr>
          <w:rFonts w:ascii="OpenSans" w:hAnsi="OpenSans" w:cs="OpenSans"/>
          <w:b/>
          <w:bCs/>
        </w:rPr>
        <w:t>gestaltet die Tatbestände der §§ 89a, 91, 129a StGB richtlinienkonform</w:t>
      </w:r>
      <w:r>
        <w:rPr>
          <w:rFonts w:ascii="OpenSans" w:hAnsi="OpenSans" w:cs="OpenSans"/>
        </w:rPr>
        <w:t>. Im Wesentlichen werden weitere Handlungen, die der Vorbereitung einer terroristischen Straftat dienen, pönalisiert und bestimmte der Vollendung vorgelagerte Handlungen unter Strafe gestellt. Dazu gehört u.a. in bestimmten Fällen auch der Versuch der Vorbereitung sowie der Androhung einer terroristischen Straftat sowie der Versuch der Anstiftung zu einer solchen Straftat. Darüber hinaus soll der Strafrahmen des § 99 StGB (Geheimdienstliche Agententätigkeit) von Freiheitsstrafe bis zu fünf Jahren oder Geldstrafe im Grundtatbestand auf Freiheitsstrafe von sechs Monaten bis zu zehn Jahren erhöht und ein unbenannter minder schwerer Fall mit dem bisherigen Strafrahmen geschaffen werden.  Daneben sieht d</w:t>
      </w:r>
      <w:r>
        <w:rPr>
          <w:rFonts w:ascii="OpenSans" w:hAnsi="OpenSans" w:cs="OpenSans"/>
        </w:rPr>
        <w:t>as Gesetz</w:t>
      </w:r>
      <w:r>
        <w:rPr>
          <w:rFonts w:ascii="OpenSans" w:hAnsi="OpenSans" w:cs="OpenSans"/>
        </w:rPr>
        <w:t xml:space="preserve"> diverse Folgeänderungen im VIS-Zugangs-, Fluggastdaten- und Aufenthaltsgesetz, in der Strafprozessordnung, im Zollverwaltungsgesetz und im Gesetz</w:t>
      </w:r>
    </w:p>
    <w:p w14:paraId="0D71461B" w14:textId="77777777" w:rsidR="005426FE" w:rsidRDefault="005426FE" w:rsidP="005426FE">
      <w:pPr>
        <w:autoSpaceDE w:val="0"/>
        <w:autoSpaceDN w:val="0"/>
        <w:adjustRightInd w:val="0"/>
        <w:spacing w:line="240" w:lineRule="auto"/>
        <w:rPr>
          <w:rFonts w:ascii="OpenSans" w:hAnsi="OpenSans" w:cs="OpenSans"/>
        </w:rPr>
      </w:pPr>
      <w:r>
        <w:rPr>
          <w:rFonts w:ascii="OpenSans" w:hAnsi="OpenSans" w:cs="OpenSans"/>
        </w:rPr>
        <w:t>gegen Wettbewerbsbeschränkungen vor.</w:t>
      </w:r>
    </w:p>
    <w:p w14:paraId="48E2B6AC" w14:textId="033B140D" w:rsidR="00437669" w:rsidRDefault="005426FE" w:rsidP="00437669">
      <w:pPr>
        <w:autoSpaceDE w:val="0"/>
        <w:autoSpaceDN w:val="0"/>
        <w:adjustRightInd w:val="0"/>
        <w:spacing w:after="0" w:line="240" w:lineRule="auto"/>
        <w:rPr>
          <w:rFonts w:ascii="OpenSans" w:hAnsi="OpenSans" w:cs="OpenSans"/>
        </w:rPr>
      </w:pPr>
      <w:r w:rsidRPr="005426FE">
        <w:rPr>
          <w:rFonts w:ascii="OpenSans" w:hAnsi="OpenSans" w:cs="OpenSans"/>
          <w:b/>
          <w:bCs/>
        </w:rPr>
        <w:t>Im Bundestag wurde ein neuer Straftatbestand, § 87a StGB, ergänzt.</w:t>
      </w:r>
      <w:r w:rsidRPr="005426FE">
        <w:rPr>
          <w:rFonts w:ascii="OpenSans" w:hAnsi="OpenSans" w:cs="OpenSans"/>
        </w:rPr>
        <w:t xml:space="preserve"> Mit der Norm soll mit Freiheitsstrafe bis zu fünf Jahren bestraft werden, wer im Auftrag einer fremden staatlichen Macht in der BRD eine vorsätzliche rechtswidrige Tat begeht. Ebenso soll bestraft werden, wer einen solchen Auftrag erteilt. Die vom Bundesrat als Prüfbitte geforderte Ergänzung der Strafbarkeit des Auskundschaftens eines Anschlagziels wurde als nicht verhältnismäßige Ausdehnung der Strafbarkeit abgelehnt.</w:t>
      </w:r>
    </w:p>
    <w:p w14:paraId="4860D077" w14:textId="6D11C5EA" w:rsidR="005426FE" w:rsidRDefault="005426FE" w:rsidP="00437669">
      <w:pPr>
        <w:autoSpaceDE w:val="0"/>
        <w:autoSpaceDN w:val="0"/>
        <w:adjustRightInd w:val="0"/>
        <w:spacing w:after="0" w:line="240" w:lineRule="auto"/>
        <w:rPr>
          <w:rFonts w:ascii="OpenSans" w:hAnsi="OpenSans" w:cs="OpenSans"/>
        </w:rPr>
      </w:pPr>
    </w:p>
    <w:p w14:paraId="5DE280F1" w14:textId="1F9BCA94" w:rsidR="00DC7799" w:rsidRDefault="00DC7799" w:rsidP="00437669">
      <w:pPr>
        <w:autoSpaceDE w:val="0"/>
        <w:autoSpaceDN w:val="0"/>
        <w:adjustRightInd w:val="0"/>
        <w:spacing w:after="0" w:line="240" w:lineRule="auto"/>
        <w:rPr>
          <w:rFonts w:ascii="OpenSans" w:hAnsi="OpenSans" w:cs="OpenSans"/>
        </w:rPr>
      </w:pPr>
      <w:r>
        <w:rPr>
          <w:rFonts w:ascii="OpenSans" w:hAnsi="OpenSans" w:cs="OpenSans"/>
        </w:rPr>
        <w:t xml:space="preserve">Link: </w:t>
      </w:r>
      <w:hyperlink r:id="rId9" w:tgtFrame="_blank" w:history="1">
        <w:r>
          <w:rPr>
            <w:rStyle w:val="Hyperlink"/>
          </w:rPr>
          <w:t>https://www.bundesrat.de/bv.html?id=0082-26</w:t>
        </w:r>
      </w:hyperlink>
    </w:p>
    <w:p w14:paraId="023256A9" w14:textId="77777777" w:rsidR="005426FE" w:rsidRDefault="005426FE" w:rsidP="00437669">
      <w:pPr>
        <w:autoSpaceDE w:val="0"/>
        <w:autoSpaceDN w:val="0"/>
        <w:adjustRightInd w:val="0"/>
        <w:spacing w:after="0" w:line="240" w:lineRule="auto"/>
        <w:rPr>
          <w:rFonts w:ascii="OpenSans" w:hAnsi="OpenSans" w:cs="OpenSans"/>
        </w:rPr>
      </w:pPr>
    </w:p>
    <w:p w14:paraId="530A69A8" w14:textId="77777777" w:rsidR="00437669" w:rsidRDefault="00437669" w:rsidP="00437669">
      <w:pPr>
        <w:pBdr>
          <w:top w:val="single" w:sz="4" w:space="1" w:color="auto"/>
          <w:left w:val="single" w:sz="4" w:space="4" w:color="auto"/>
          <w:bottom w:val="single" w:sz="4" w:space="1" w:color="auto"/>
          <w:right w:val="single" w:sz="4" w:space="4" w:color="auto"/>
        </w:pBdr>
        <w:rPr>
          <w:rFonts w:ascii="OpenSans" w:hAnsi="OpenSans" w:cs="OpenSans"/>
        </w:rPr>
      </w:pPr>
      <w:r w:rsidRPr="00437669">
        <w:rPr>
          <w:rFonts w:ascii="OpenSans" w:hAnsi="OpenSans" w:cs="OpenSans"/>
        </w:rPr>
        <w:t xml:space="preserve">Gesetz zur </w:t>
      </w:r>
      <w:r w:rsidRPr="00437669">
        <w:rPr>
          <w:rFonts w:ascii="OpenSans" w:hAnsi="OpenSans" w:cs="OpenSans"/>
          <w:b/>
          <w:bCs/>
        </w:rPr>
        <w:t>Umsetzung der Richtlinie (EU) 2023/1544</w:t>
      </w:r>
      <w:r w:rsidRPr="00437669">
        <w:rPr>
          <w:rFonts w:ascii="OpenSans" w:hAnsi="OpenSans" w:cs="OpenSans"/>
          <w:b/>
          <w:bCs/>
        </w:rPr>
        <w:t xml:space="preserve"> </w:t>
      </w:r>
      <w:r w:rsidRPr="00437669">
        <w:rPr>
          <w:rFonts w:ascii="OpenSans" w:hAnsi="OpenSans" w:cs="OpenSans"/>
          <w:b/>
          <w:bCs/>
        </w:rPr>
        <w:t>und zur Durchführung der Verordnung (EU) 2023/1543</w:t>
      </w:r>
      <w:r w:rsidRPr="00437669">
        <w:rPr>
          <w:rFonts w:ascii="OpenSans" w:hAnsi="OpenSans" w:cs="OpenSans"/>
          <w:b/>
          <w:bCs/>
        </w:rPr>
        <w:t xml:space="preserve"> </w:t>
      </w:r>
      <w:r w:rsidRPr="00437669">
        <w:rPr>
          <w:rFonts w:ascii="OpenSans" w:hAnsi="OpenSans" w:cs="OpenSans"/>
          <w:b/>
          <w:bCs/>
        </w:rPr>
        <w:t>über die grenzüberschreitende Sicherung und Herausgabe</w:t>
      </w:r>
      <w:r w:rsidRPr="00437669">
        <w:rPr>
          <w:rFonts w:ascii="OpenSans" w:hAnsi="OpenSans" w:cs="OpenSans"/>
          <w:b/>
          <w:bCs/>
        </w:rPr>
        <w:t xml:space="preserve"> </w:t>
      </w:r>
      <w:r w:rsidRPr="00437669">
        <w:rPr>
          <w:rFonts w:ascii="OpenSans" w:hAnsi="OpenSans" w:cs="OpenSans"/>
          <w:b/>
          <w:bCs/>
        </w:rPr>
        <w:t>elektronischer Beweismittel in Strafverfahren</w:t>
      </w:r>
      <w:r w:rsidRPr="00437669">
        <w:rPr>
          <w:rFonts w:ascii="OpenSans" w:hAnsi="OpenSans" w:cs="OpenSans"/>
          <w:b/>
          <w:bCs/>
        </w:rPr>
        <w:t xml:space="preserve"> </w:t>
      </w:r>
      <w:r w:rsidRPr="00437669">
        <w:rPr>
          <w:rFonts w:ascii="OpenSans" w:hAnsi="OpenSans" w:cs="OpenSans"/>
          <w:b/>
          <w:bCs/>
        </w:rPr>
        <w:t>innerhalb der Europäischen Union</w:t>
      </w:r>
    </w:p>
    <w:p w14:paraId="73E34AA2" w14:textId="54FE8DEB" w:rsidR="00437669" w:rsidRDefault="00437669" w:rsidP="00437669">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lastRenderedPageBreak/>
        <w:t>BR-</w:t>
      </w:r>
      <w:proofErr w:type="spellStart"/>
      <w:r>
        <w:rPr>
          <w:rFonts w:cstheme="minorHAnsi"/>
          <w:color w:val="000000" w:themeColor="text1"/>
        </w:rPr>
        <w:t>Drs</w:t>
      </w:r>
      <w:proofErr w:type="spellEnd"/>
      <w:r>
        <w:rPr>
          <w:rFonts w:cstheme="minorHAnsi"/>
          <w:color w:val="000000" w:themeColor="text1"/>
        </w:rPr>
        <w:t>. 8</w:t>
      </w:r>
      <w:r>
        <w:rPr>
          <w:rFonts w:cstheme="minorHAnsi"/>
          <w:color w:val="000000" w:themeColor="text1"/>
        </w:rPr>
        <w:t>3</w:t>
      </w:r>
      <w:r>
        <w:rPr>
          <w:rFonts w:cstheme="minorHAnsi"/>
          <w:color w:val="000000" w:themeColor="text1"/>
        </w:rPr>
        <w:t>/26</w:t>
      </w:r>
    </w:p>
    <w:p w14:paraId="1785703C" w14:textId="07AC39BB" w:rsidR="00437669" w:rsidRDefault="00437669" w:rsidP="00437669">
      <w:pPr>
        <w:autoSpaceDE w:val="0"/>
        <w:autoSpaceDN w:val="0"/>
        <w:adjustRightInd w:val="0"/>
        <w:spacing w:after="0" w:line="240" w:lineRule="auto"/>
        <w:rPr>
          <w:rFonts w:ascii="OpenSans" w:hAnsi="OpenSans" w:cs="OpenSans"/>
        </w:rPr>
      </w:pPr>
    </w:p>
    <w:p w14:paraId="3708D665" w14:textId="77777777" w:rsidR="00437669" w:rsidRDefault="00437669" w:rsidP="00437669">
      <w:pPr>
        <w:autoSpaceDE w:val="0"/>
        <w:autoSpaceDN w:val="0"/>
        <w:adjustRightInd w:val="0"/>
        <w:spacing w:after="0" w:line="240" w:lineRule="auto"/>
        <w:rPr>
          <w:rFonts w:ascii="OpenSans" w:hAnsi="OpenSans" w:cs="OpenSans"/>
        </w:rPr>
      </w:pPr>
      <w:r>
        <w:rPr>
          <w:rFonts w:ascii="OpenSans" w:hAnsi="OpenSans" w:cs="OpenSans"/>
        </w:rPr>
        <w:t>Der Bundesrat rief den Vermittlungsausschuss nicht an.</w:t>
      </w:r>
    </w:p>
    <w:p w14:paraId="752F7CCB" w14:textId="39D36AFD" w:rsidR="00437669" w:rsidRDefault="00437669" w:rsidP="00437669">
      <w:pPr>
        <w:autoSpaceDE w:val="0"/>
        <w:autoSpaceDN w:val="0"/>
        <w:adjustRightInd w:val="0"/>
        <w:spacing w:after="0" w:line="240" w:lineRule="auto"/>
        <w:rPr>
          <w:rFonts w:ascii="OpenSans" w:hAnsi="OpenSans" w:cs="OpenSans"/>
        </w:rPr>
      </w:pPr>
    </w:p>
    <w:p w14:paraId="4986D741" w14:textId="79E002EE" w:rsidR="002D34C6" w:rsidRPr="002D34C6" w:rsidRDefault="002D34C6" w:rsidP="002D34C6">
      <w:pPr>
        <w:rPr>
          <w:rFonts w:ascii="OpenSans" w:hAnsi="OpenSans" w:cs="Open Sans"/>
        </w:rPr>
      </w:pPr>
      <w:r>
        <w:rPr>
          <w:rFonts w:ascii="OpenSans" w:hAnsi="OpenSans" w:cs="Open Sans"/>
        </w:rPr>
        <w:t>Das Gesetz</w:t>
      </w:r>
      <w:r w:rsidRPr="002D34C6">
        <w:rPr>
          <w:rFonts w:ascii="OpenSans" w:hAnsi="OpenSans" w:cs="Open Sans"/>
        </w:rPr>
        <w:t xml:space="preserve"> dient der </w:t>
      </w:r>
      <w:r w:rsidRPr="002D34C6">
        <w:rPr>
          <w:rFonts w:ascii="OpenSans" w:hAnsi="OpenSans" w:cs="Open Sans"/>
          <w:b/>
          <w:bCs/>
        </w:rPr>
        <w:t>Umsetzung der Richtlinie (EU) 2023/1544 und der Durchführung der Verordnung (EU) 2023/1543 „E-</w:t>
      </w:r>
      <w:proofErr w:type="spellStart"/>
      <w:r w:rsidRPr="002D34C6">
        <w:rPr>
          <w:rFonts w:ascii="OpenSans" w:hAnsi="OpenSans" w:cs="Open Sans"/>
          <w:b/>
          <w:bCs/>
        </w:rPr>
        <w:t>Evidence</w:t>
      </w:r>
      <w:proofErr w:type="spellEnd"/>
      <w:r w:rsidRPr="002D34C6">
        <w:rPr>
          <w:rFonts w:ascii="OpenSans" w:hAnsi="OpenSans" w:cs="Open Sans"/>
          <w:b/>
          <w:bCs/>
        </w:rPr>
        <w:t>“.</w:t>
      </w:r>
      <w:r w:rsidRPr="002D34C6">
        <w:rPr>
          <w:rFonts w:ascii="OpenSans" w:hAnsi="OpenSans" w:cs="Open Sans"/>
        </w:rPr>
        <w:t xml:space="preserve"> Die Regelungen soll insbesondere einen einheitlichen Rechtsrahmen für die grenzüberschreitende Anordnung der </w:t>
      </w:r>
      <w:r w:rsidRPr="002D34C6">
        <w:rPr>
          <w:rFonts w:ascii="OpenSans" w:hAnsi="OpenSans" w:cs="Open Sans"/>
          <w:b/>
          <w:bCs/>
        </w:rPr>
        <w:t xml:space="preserve">Sicherung und Herausgabe bestimmter personenbezogener Daten als elektronische Beweismittel </w:t>
      </w:r>
      <w:r w:rsidRPr="002D34C6">
        <w:rPr>
          <w:rFonts w:ascii="OpenSans" w:hAnsi="OpenSans" w:cs="Open Sans"/>
        </w:rPr>
        <w:t xml:space="preserve">schaffen. </w:t>
      </w:r>
      <w:r w:rsidRPr="002D34C6">
        <w:rPr>
          <w:rFonts w:ascii="OpenSans" w:hAnsi="OpenSans" w:cs="Open Sans"/>
          <w:b/>
          <w:bCs/>
        </w:rPr>
        <w:t xml:space="preserve">Die Behörden eines Mitgliedstaats </w:t>
      </w:r>
      <w:r w:rsidRPr="002D34C6">
        <w:rPr>
          <w:rFonts w:ascii="OpenSans" w:hAnsi="OpenSans" w:cs="Open Sans"/>
        </w:rPr>
        <w:t>(und im Rahmen des deutschen Prozessrechts auch Beschuldigte sowie deren Verteidiger)</w:t>
      </w:r>
      <w:r w:rsidRPr="002D34C6">
        <w:rPr>
          <w:rFonts w:ascii="OpenSans" w:hAnsi="OpenSans" w:cs="Open Sans"/>
          <w:b/>
          <w:bCs/>
        </w:rPr>
        <w:t xml:space="preserve"> können solche Beweismittel unmittelbar bei einem Diensteanbieter, der in einem anderen Mitgliedstaat der Europäischen Union seine Niederlassung benannt oder seinen Vertreter bestellt hat, sichern lassen oder herausverlangen – unabhängig davon, wo sich die Daten befinden.</w:t>
      </w:r>
      <w:r w:rsidRPr="002D34C6">
        <w:rPr>
          <w:rFonts w:ascii="OpenSans" w:hAnsi="OpenSans" w:cs="Open Sans"/>
        </w:rPr>
        <w:t xml:space="preserve"> Ziel des Gesetzes ist, die Effizienz der Strafverfolgung in der Bundesrepublik Deutschland und in der Europäischen Union zu steigern. </w:t>
      </w:r>
      <w:r w:rsidRPr="002D34C6">
        <w:rPr>
          <w:rFonts w:ascii="OpenSans" w:hAnsi="OpenSans" w:cs="Open Sans"/>
          <w:b/>
          <w:bCs/>
        </w:rPr>
        <w:t>Die Vorgaben werden in einem neuen Stammgesetz (Elektronische-Beweismittel-Umsetzungs-und-Durchführungsgesetz) umgesetzt.</w:t>
      </w:r>
      <w:r w:rsidRPr="002D34C6">
        <w:rPr>
          <w:rFonts w:ascii="OpenSans" w:hAnsi="OpenSans" w:cs="Open Sans"/>
        </w:rPr>
        <w:t xml:space="preserve"> Den Kern des neuen Stammgesetzes stellen die Regelungen zur Durchführung der Verordnung dar, die sich zu Verfahren, Zuständigkeiten und Rechtsbehelfen betreffend das Instrument der Europäischen Herausgabeanordnung (sog. EPOC) verhalten. Das in der Verordnung ebenfalls verankerte Verfahren zum Erlass von Europäischen Sicherungsanordnungen (sog. EPOC-PR) wurde im vorliegenden Gesetz</w:t>
      </w:r>
      <w:r>
        <w:rPr>
          <w:rFonts w:ascii="OpenSans" w:hAnsi="OpenSans" w:cs="Open Sans"/>
        </w:rPr>
        <w:t xml:space="preserve"> </w:t>
      </w:r>
      <w:r w:rsidRPr="002D34C6">
        <w:rPr>
          <w:rFonts w:ascii="OpenSans" w:hAnsi="OpenSans" w:cs="Open Sans"/>
        </w:rPr>
        <w:t xml:space="preserve">ausgeklammert und soll gesondert eingeführt werden. Vorgesehen ist auch ein Bußgeldtatbestand für Zuwiderhandlungen der Dienstanbieter gegen die ihnen auferlegten Pflichten (u.a. Pflicht zur Benennung von Niederlassungen). Die Einhaltung der Verpflichtungen wird durch das Bundesamt für Justiz als zentrale Behörde überwacht. </w:t>
      </w:r>
    </w:p>
    <w:p w14:paraId="54FCC303" w14:textId="6C065153" w:rsidR="002D34C6" w:rsidRDefault="002D34C6" w:rsidP="002D34C6">
      <w:pPr>
        <w:rPr>
          <w:rFonts w:ascii="OpenSans" w:hAnsi="OpenSans" w:cs="Open Sans"/>
        </w:rPr>
      </w:pPr>
      <w:r w:rsidRPr="002D34C6">
        <w:rPr>
          <w:rFonts w:ascii="OpenSans" w:hAnsi="OpenSans" w:cs="Open Sans"/>
        </w:rPr>
        <w:t xml:space="preserve">Im </w:t>
      </w:r>
      <w:r w:rsidRPr="002D34C6">
        <w:rPr>
          <w:rFonts w:ascii="OpenSans" w:hAnsi="OpenSans" w:cs="Open Sans"/>
          <w:b/>
          <w:bCs/>
        </w:rPr>
        <w:t>Bundestag</w:t>
      </w:r>
      <w:r w:rsidRPr="002D34C6">
        <w:rPr>
          <w:rFonts w:ascii="OpenSans" w:hAnsi="OpenSans" w:cs="Open Sans"/>
        </w:rPr>
        <w:t xml:space="preserve"> wurden lediglich redaktionelle Änderungen beschlossen. In einem Entschließungsantrag fordert der Bundestag die Bundesregierung dazu auf, fakultative Kommunikationsmöglichkeiten zwischen Vollstreckungsbehörde und Diensteanbieter insbesondere zum Schutz von Berufsgeheimnisträgern zu prüfen. </w:t>
      </w:r>
    </w:p>
    <w:p w14:paraId="7EBC2D78" w14:textId="40633DA5" w:rsidR="00437669" w:rsidRPr="00DC7799" w:rsidRDefault="00DC7799" w:rsidP="00DC7799">
      <w:pPr>
        <w:rPr>
          <w:rFonts w:ascii="OpenSans" w:hAnsi="OpenSans" w:cs="Open Sans"/>
        </w:rPr>
      </w:pPr>
      <w:r>
        <w:rPr>
          <w:rFonts w:ascii="OpenSans" w:hAnsi="OpenSans" w:cs="Open Sans"/>
        </w:rPr>
        <w:t xml:space="preserve">Link: </w:t>
      </w:r>
      <w:hyperlink r:id="rId10" w:tgtFrame="_blank" w:history="1">
        <w:r>
          <w:rPr>
            <w:rStyle w:val="Hyperlink"/>
          </w:rPr>
          <w:t>https://www.bundesrat.de/bv.html?id=0083-26</w:t>
        </w:r>
      </w:hyperlink>
    </w:p>
    <w:p w14:paraId="10480C34" w14:textId="77777777" w:rsidR="00437669" w:rsidRDefault="00437669" w:rsidP="00437669">
      <w:pPr>
        <w:autoSpaceDE w:val="0"/>
        <w:autoSpaceDN w:val="0"/>
        <w:adjustRightInd w:val="0"/>
        <w:spacing w:after="0" w:line="240" w:lineRule="auto"/>
        <w:rPr>
          <w:rFonts w:ascii="OpenSans" w:hAnsi="OpenSans" w:cs="OpenSans"/>
        </w:rPr>
      </w:pPr>
    </w:p>
    <w:p w14:paraId="1DA362FC" w14:textId="77777777" w:rsidR="00437669" w:rsidRDefault="00437669" w:rsidP="00437669">
      <w:pPr>
        <w:pBdr>
          <w:top w:val="single" w:sz="4" w:space="1" w:color="auto"/>
          <w:left w:val="single" w:sz="4" w:space="4" w:color="auto"/>
          <w:bottom w:val="single" w:sz="4" w:space="1" w:color="auto"/>
          <w:right w:val="single" w:sz="4" w:space="4" w:color="auto"/>
        </w:pBdr>
        <w:rPr>
          <w:rFonts w:ascii="OpenSans" w:hAnsi="OpenSans" w:cs="OpenSans"/>
        </w:rPr>
      </w:pPr>
      <w:r>
        <w:rPr>
          <w:rFonts w:ascii="OpenSans" w:hAnsi="OpenSans" w:cs="OpenSans"/>
        </w:rPr>
        <w:t xml:space="preserve">Erstes Gesetz zur </w:t>
      </w:r>
      <w:r w:rsidRPr="00437669">
        <w:rPr>
          <w:rFonts w:ascii="OpenSans" w:hAnsi="OpenSans" w:cs="OpenSans"/>
          <w:b/>
          <w:bCs/>
        </w:rPr>
        <w:t>Änderung des Eurojust-Gesetzes</w:t>
      </w:r>
    </w:p>
    <w:p w14:paraId="6FA59979" w14:textId="7C767B65" w:rsidR="00437669" w:rsidRDefault="00437669" w:rsidP="00437669">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8</w:t>
      </w:r>
      <w:r>
        <w:rPr>
          <w:rFonts w:cstheme="minorHAnsi"/>
          <w:color w:val="000000" w:themeColor="text1"/>
        </w:rPr>
        <w:t>4</w:t>
      </w:r>
      <w:r>
        <w:rPr>
          <w:rFonts w:cstheme="minorHAnsi"/>
          <w:color w:val="000000" w:themeColor="text1"/>
        </w:rPr>
        <w:t>/26</w:t>
      </w:r>
    </w:p>
    <w:p w14:paraId="3DD83E75" w14:textId="0ACFBF1D" w:rsidR="00437669" w:rsidRDefault="00437669" w:rsidP="00437669">
      <w:pPr>
        <w:autoSpaceDE w:val="0"/>
        <w:autoSpaceDN w:val="0"/>
        <w:adjustRightInd w:val="0"/>
        <w:spacing w:after="0" w:line="240" w:lineRule="auto"/>
        <w:rPr>
          <w:rFonts w:ascii="OpenSans" w:hAnsi="OpenSans" w:cs="OpenSans"/>
        </w:rPr>
      </w:pPr>
      <w:r>
        <w:rPr>
          <w:rFonts w:ascii="OpenSans" w:hAnsi="OpenSans" w:cs="OpenSans"/>
        </w:rPr>
        <w:t>Der Bundesrat rief den Vermittlungsausschuss nicht an.</w:t>
      </w:r>
    </w:p>
    <w:p w14:paraId="49225971" w14:textId="45CE1F2A" w:rsidR="00437669" w:rsidRDefault="00437669" w:rsidP="00437669">
      <w:pPr>
        <w:autoSpaceDE w:val="0"/>
        <w:autoSpaceDN w:val="0"/>
        <w:adjustRightInd w:val="0"/>
        <w:spacing w:after="0" w:line="240" w:lineRule="auto"/>
        <w:rPr>
          <w:rFonts w:ascii="OpenSans" w:hAnsi="OpenSans" w:cs="OpenSans"/>
        </w:rPr>
      </w:pPr>
    </w:p>
    <w:p w14:paraId="6491FE94" w14:textId="2FA63A69" w:rsidR="002D34C6" w:rsidRPr="002D34C6" w:rsidRDefault="002D34C6" w:rsidP="002D34C6">
      <w:pPr>
        <w:pStyle w:val="Drucksache"/>
        <w:tabs>
          <w:tab w:val="left" w:pos="2765"/>
        </w:tabs>
        <w:ind w:left="0"/>
        <w:rPr>
          <w:rFonts w:ascii="OpenSans" w:hAnsi="OpenSans" w:cs="Open Sans"/>
          <w:bCs/>
          <w:noProof w:val="0"/>
          <w:sz w:val="22"/>
        </w:rPr>
      </w:pPr>
      <w:r>
        <w:rPr>
          <w:rFonts w:ascii="OpenSans" w:hAnsi="OpenSans" w:cs="Open Sans"/>
          <w:bCs/>
          <w:noProof w:val="0"/>
          <w:sz w:val="22"/>
        </w:rPr>
        <w:t>Das Gesetz</w:t>
      </w:r>
      <w:r w:rsidRPr="002D34C6">
        <w:rPr>
          <w:rFonts w:ascii="OpenSans" w:hAnsi="OpenSans" w:cs="Open Sans"/>
          <w:bCs/>
          <w:noProof w:val="0"/>
          <w:sz w:val="22"/>
        </w:rPr>
        <w:t xml:space="preserve"> dient der </w:t>
      </w:r>
      <w:r w:rsidRPr="002D34C6">
        <w:rPr>
          <w:rFonts w:ascii="OpenSans" w:hAnsi="OpenSans" w:cs="Open Sans"/>
          <w:b/>
          <w:noProof w:val="0"/>
          <w:sz w:val="22"/>
        </w:rPr>
        <w:t>Aktualisierung des Eurojust-Gesetzes (EJG) und der Eurojust-Anlaufstellen-Verordnung (</w:t>
      </w:r>
      <w:proofErr w:type="spellStart"/>
      <w:r w:rsidRPr="002D34C6">
        <w:rPr>
          <w:rFonts w:ascii="OpenSans" w:hAnsi="OpenSans" w:cs="Open Sans"/>
          <w:b/>
          <w:noProof w:val="0"/>
          <w:sz w:val="22"/>
        </w:rPr>
        <w:t>EJTAnV</w:t>
      </w:r>
      <w:proofErr w:type="spellEnd"/>
      <w:r w:rsidRPr="002D34C6">
        <w:rPr>
          <w:rFonts w:ascii="OpenSans" w:hAnsi="OpenSans" w:cs="Open Sans"/>
          <w:b/>
          <w:noProof w:val="0"/>
          <w:sz w:val="22"/>
        </w:rPr>
        <w:t>).</w:t>
      </w:r>
      <w:r w:rsidRPr="002D34C6">
        <w:rPr>
          <w:rFonts w:ascii="OpenSans" w:hAnsi="OpenSans" w:cs="Open Sans"/>
          <w:bCs/>
          <w:noProof w:val="0"/>
          <w:sz w:val="22"/>
        </w:rPr>
        <w:t xml:space="preserve"> Der Aktualisierungsbedarf ergibt sich aus den Änderungen, welche die zugrundeliegenden EU-Verordnung (Eurojust-VO) erfahren hat, die sich mit dem digitalen Informationsaustausch in grenzüberschreitenden Terrorismusfällen, der Modernisierung des Fallbearbeitungssystems, den technischen Einzelheiten der digitalen Kommunikation und des Datenaustauschs und dem Zugriffsrecht von Verbindungsstaatsanwälten und -staatsanwältinnen aus Drittstaaten befassen. D</w:t>
      </w:r>
      <w:r>
        <w:rPr>
          <w:rFonts w:ascii="OpenSans" w:hAnsi="OpenSans" w:cs="Open Sans"/>
          <w:bCs/>
          <w:noProof w:val="0"/>
          <w:sz w:val="22"/>
        </w:rPr>
        <w:t>as Gesetz</w:t>
      </w:r>
      <w:r w:rsidRPr="002D34C6">
        <w:rPr>
          <w:rFonts w:ascii="OpenSans" w:hAnsi="OpenSans" w:cs="Open Sans"/>
          <w:bCs/>
          <w:noProof w:val="0"/>
          <w:sz w:val="22"/>
        </w:rPr>
        <w:t xml:space="preserve"> nimmt die daraus folgenden Änderungsbedarfe auf nationaler Ebene vor. Diese umfassen die Anpassung der Verordnungsermächtigung im EJG, Änderungen betreffend die Verwaltung des Fallbearbeitungssystems sowie der Rechtsgrundlage für die Einrichtung der nationalen Eurojust-Anlaufstelle für Terrorismusfragen.  Außerdem wird </w:t>
      </w:r>
      <w:r w:rsidRPr="002D34C6">
        <w:rPr>
          <w:rFonts w:ascii="OpenSans" w:hAnsi="OpenSans" w:cs="Open Sans"/>
          <w:b/>
          <w:noProof w:val="0"/>
          <w:sz w:val="22"/>
        </w:rPr>
        <w:t>die Rechtsgrundlage für den Informationsaustausch über Terrorismusfälle geändert</w:t>
      </w:r>
      <w:r w:rsidRPr="002D34C6">
        <w:rPr>
          <w:rFonts w:ascii="OpenSans" w:hAnsi="OpenSans" w:cs="Open Sans"/>
          <w:bCs/>
          <w:noProof w:val="0"/>
          <w:sz w:val="22"/>
        </w:rPr>
        <w:t xml:space="preserve">. Einführt wird ein Prozedere zur Löschung bereits an Eurojust übermittelter Daten nach Abschluss des nationalen </w:t>
      </w:r>
      <w:r w:rsidRPr="002D34C6">
        <w:rPr>
          <w:rFonts w:ascii="OpenSans" w:hAnsi="OpenSans" w:cs="Open Sans"/>
          <w:bCs/>
          <w:noProof w:val="0"/>
          <w:sz w:val="22"/>
        </w:rPr>
        <w:lastRenderedPageBreak/>
        <w:t xml:space="preserve">Strafverfahrens. </w:t>
      </w:r>
    </w:p>
    <w:p w14:paraId="4FE0638F" w14:textId="77777777" w:rsidR="002D34C6" w:rsidRPr="002D34C6" w:rsidRDefault="002D34C6" w:rsidP="002D34C6">
      <w:pPr>
        <w:pStyle w:val="Drucksache"/>
        <w:tabs>
          <w:tab w:val="left" w:pos="2765"/>
        </w:tabs>
        <w:ind w:left="0"/>
        <w:rPr>
          <w:rFonts w:ascii="OpenSans" w:hAnsi="OpenSans" w:cs="Open Sans"/>
          <w:bCs/>
          <w:noProof w:val="0"/>
          <w:sz w:val="22"/>
        </w:rPr>
      </w:pPr>
    </w:p>
    <w:p w14:paraId="6E583F16" w14:textId="3A40AA80" w:rsidR="002D34C6" w:rsidRDefault="002D34C6" w:rsidP="002D34C6">
      <w:pPr>
        <w:pStyle w:val="Drucksache"/>
        <w:tabs>
          <w:tab w:val="left" w:pos="2765"/>
        </w:tabs>
        <w:ind w:left="0"/>
        <w:rPr>
          <w:rFonts w:ascii="OpenSans" w:hAnsi="OpenSans" w:cs="Open Sans"/>
          <w:bCs/>
          <w:noProof w:val="0"/>
          <w:sz w:val="22"/>
        </w:rPr>
      </w:pPr>
      <w:r>
        <w:rPr>
          <w:rFonts w:ascii="OpenSans" w:hAnsi="OpenSans" w:cs="Open Sans"/>
          <w:bCs/>
          <w:noProof w:val="0"/>
          <w:sz w:val="22"/>
        </w:rPr>
        <w:t xml:space="preserve">Im Bundestag </w:t>
      </w:r>
      <w:r w:rsidRPr="002D34C6">
        <w:rPr>
          <w:rFonts w:ascii="OpenSans" w:hAnsi="OpenSans" w:cs="Open Sans"/>
          <w:bCs/>
          <w:noProof w:val="0"/>
          <w:sz w:val="22"/>
        </w:rPr>
        <w:t xml:space="preserve">wurde </w:t>
      </w:r>
      <w:r>
        <w:rPr>
          <w:rFonts w:ascii="OpenSans" w:hAnsi="OpenSans" w:cs="Open Sans"/>
          <w:bCs/>
          <w:noProof w:val="0"/>
          <w:sz w:val="22"/>
        </w:rPr>
        <w:t>das Gesetz zuvor ohne Änderungen</w:t>
      </w:r>
      <w:r w:rsidRPr="002D34C6">
        <w:rPr>
          <w:rFonts w:ascii="OpenSans" w:hAnsi="OpenSans" w:cs="Open Sans"/>
          <w:bCs/>
          <w:noProof w:val="0"/>
          <w:sz w:val="22"/>
        </w:rPr>
        <w:t xml:space="preserve"> verabschiedet.</w:t>
      </w:r>
    </w:p>
    <w:p w14:paraId="5DD9B5E2" w14:textId="04238096" w:rsidR="00DC7799" w:rsidRDefault="00DC7799" w:rsidP="002D34C6">
      <w:pPr>
        <w:pStyle w:val="Drucksache"/>
        <w:tabs>
          <w:tab w:val="left" w:pos="2765"/>
        </w:tabs>
        <w:ind w:left="0"/>
        <w:rPr>
          <w:rFonts w:ascii="OpenSans" w:hAnsi="OpenSans" w:cs="Open Sans"/>
          <w:bCs/>
          <w:noProof w:val="0"/>
          <w:sz w:val="22"/>
        </w:rPr>
      </w:pPr>
    </w:p>
    <w:p w14:paraId="6108BA08" w14:textId="3DE4372A" w:rsidR="00DC7799" w:rsidRPr="00DC7799" w:rsidRDefault="00DC7799" w:rsidP="002D34C6">
      <w:pPr>
        <w:pStyle w:val="Drucksache"/>
        <w:tabs>
          <w:tab w:val="left" w:pos="2765"/>
        </w:tabs>
        <w:ind w:left="0"/>
        <w:rPr>
          <w:rFonts w:ascii="OpenSans" w:hAnsi="OpenSans" w:cs="Open Sans"/>
          <w:bCs/>
          <w:noProof w:val="0"/>
          <w:sz w:val="22"/>
          <w:szCs w:val="22"/>
        </w:rPr>
      </w:pPr>
      <w:r>
        <w:rPr>
          <w:rFonts w:ascii="OpenSans" w:hAnsi="OpenSans" w:cs="Open Sans"/>
          <w:bCs/>
          <w:noProof w:val="0"/>
          <w:sz w:val="22"/>
        </w:rPr>
        <w:t xml:space="preserve">Link: </w:t>
      </w:r>
      <w:hyperlink r:id="rId11" w:tgtFrame="_blank" w:history="1">
        <w:r w:rsidRPr="00DC7799">
          <w:rPr>
            <w:rStyle w:val="Hyperlink"/>
            <w:rFonts w:asciiTheme="minorHAnsi" w:hAnsiTheme="minorHAnsi" w:cstheme="minorHAnsi"/>
            <w:sz w:val="22"/>
            <w:szCs w:val="22"/>
          </w:rPr>
          <w:t>https://www.bundesrat.de/bv.html?id=0084-26</w:t>
        </w:r>
      </w:hyperlink>
    </w:p>
    <w:p w14:paraId="0F8E634E" w14:textId="64846107" w:rsidR="00437669" w:rsidRDefault="00437669" w:rsidP="00437669">
      <w:pPr>
        <w:autoSpaceDE w:val="0"/>
        <w:autoSpaceDN w:val="0"/>
        <w:adjustRightInd w:val="0"/>
        <w:spacing w:after="0" w:line="240" w:lineRule="auto"/>
        <w:rPr>
          <w:rFonts w:ascii="OpenSans" w:hAnsi="OpenSans" w:cs="OpenSans"/>
        </w:rPr>
      </w:pPr>
    </w:p>
    <w:p w14:paraId="458B4480" w14:textId="77777777" w:rsidR="00437669" w:rsidRDefault="00437669" w:rsidP="00437669">
      <w:pPr>
        <w:autoSpaceDE w:val="0"/>
        <w:autoSpaceDN w:val="0"/>
        <w:adjustRightInd w:val="0"/>
        <w:spacing w:after="0" w:line="240" w:lineRule="auto"/>
        <w:rPr>
          <w:rFonts w:ascii="OpenSans" w:hAnsi="OpenSans" w:cs="OpenSans"/>
        </w:rPr>
      </w:pPr>
    </w:p>
    <w:p w14:paraId="36C560BD" w14:textId="7731E8A8" w:rsidR="00437669" w:rsidRDefault="00437669" w:rsidP="00437669">
      <w:pPr>
        <w:pBdr>
          <w:top w:val="single" w:sz="4" w:space="1" w:color="auto"/>
          <w:left w:val="single" w:sz="4" w:space="4" w:color="auto"/>
          <w:bottom w:val="single" w:sz="4" w:space="1" w:color="auto"/>
          <w:right w:val="single" w:sz="4" w:space="4" w:color="auto"/>
        </w:pBdr>
        <w:rPr>
          <w:rFonts w:ascii="OpenSans" w:hAnsi="OpenSans" w:cs="OpenSans"/>
          <w:b/>
          <w:bCs/>
        </w:rPr>
      </w:pPr>
      <w:r w:rsidRPr="00437669">
        <w:rPr>
          <w:rFonts w:ascii="OpenSans" w:hAnsi="OpenSans" w:cs="OpenSans"/>
        </w:rPr>
        <w:t xml:space="preserve">Entwurf eines Gesetzes zur </w:t>
      </w:r>
      <w:r w:rsidRPr="00437669">
        <w:rPr>
          <w:rFonts w:ascii="OpenSans" w:hAnsi="OpenSans" w:cs="OpenSans"/>
          <w:b/>
          <w:bCs/>
        </w:rPr>
        <w:t>Verbesserung der Möglichkeiten zur Einziehung von Kraftfahrzeugen, die zur</w:t>
      </w:r>
      <w:r w:rsidRPr="00437669">
        <w:rPr>
          <w:rFonts w:ascii="OpenSans" w:hAnsi="OpenSans" w:cs="OpenSans"/>
          <w:b/>
          <w:bCs/>
        </w:rPr>
        <w:t xml:space="preserve"> </w:t>
      </w:r>
      <w:r w:rsidRPr="00437669">
        <w:rPr>
          <w:rFonts w:ascii="OpenSans" w:hAnsi="OpenSans" w:cs="OpenSans"/>
          <w:b/>
          <w:bCs/>
        </w:rPr>
        <w:t>Begehung von Straftaten verwendet werden</w:t>
      </w:r>
    </w:p>
    <w:p w14:paraId="50B75BD5" w14:textId="5F1EBE02" w:rsidR="00437669" w:rsidRPr="00437669" w:rsidRDefault="00437669" w:rsidP="00437669">
      <w:pPr>
        <w:pBdr>
          <w:top w:val="single" w:sz="4" w:space="1" w:color="auto"/>
          <w:left w:val="single" w:sz="4" w:space="4" w:color="auto"/>
          <w:bottom w:val="single" w:sz="4" w:space="1" w:color="auto"/>
          <w:right w:val="single" w:sz="4" w:space="4" w:color="auto"/>
        </w:pBdr>
        <w:rPr>
          <w:rFonts w:ascii="OpenSans" w:hAnsi="OpenSans" w:cs="OpenSans"/>
        </w:rPr>
      </w:pPr>
      <w:r w:rsidRPr="00437669">
        <w:rPr>
          <w:rFonts w:ascii="OpenSans" w:hAnsi="OpenSans" w:cs="OpenSans"/>
        </w:rPr>
        <w:t>Antrag BE</w:t>
      </w:r>
    </w:p>
    <w:p w14:paraId="217F2D90" w14:textId="32260245" w:rsidR="00437669" w:rsidRDefault="00437669" w:rsidP="00437669">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Pr>
          <w:rFonts w:cstheme="minorHAnsi"/>
          <w:color w:val="000000" w:themeColor="text1"/>
        </w:rPr>
        <w:t>55</w:t>
      </w:r>
      <w:r>
        <w:rPr>
          <w:rFonts w:cstheme="minorHAnsi"/>
          <w:color w:val="000000" w:themeColor="text1"/>
        </w:rPr>
        <w:t>/26</w:t>
      </w:r>
    </w:p>
    <w:p w14:paraId="543F9C0B" w14:textId="77777777" w:rsidR="000F6409" w:rsidRDefault="00437669" w:rsidP="00437669">
      <w:pPr>
        <w:autoSpaceDE w:val="0"/>
        <w:autoSpaceDN w:val="0"/>
        <w:adjustRightInd w:val="0"/>
        <w:spacing w:after="0" w:line="240" w:lineRule="auto"/>
        <w:rPr>
          <w:rFonts w:ascii="OpenSans" w:hAnsi="OpenSans" w:cs="OpenSans"/>
        </w:rPr>
      </w:pPr>
      <w:r>
        <w:rPr>
          <w:rFonts w:ascii="OpenSans" w:hAnsi="OpenSans" w:cs="OpenSans"/>
        </w:rPr>
        <w:t xml:space="preserve">Der Bundesrat brachte den Gesetzentwurf beim Deutschen Bundestag ein. </w:t>
      </w:r>
    </w:p>
    <w:p w14:paraId="23E1AED1" w14:textId="6EFF53D2" w:rsidR="00437669" w:rsidRDefault="00437669" w:rsidP="00437669">
      <w:pPr>
        <w:autoSpaceDE w:val="0"/>
        <w:autoSpaceDN w:val="0"/>
        <w:adjustRightInd w:val="0"/>
        <w:spacing w:after="0" w:line="240" w:lineRule="auto"/>
        <w:rPr>
          <w:rFonts w:ascii="OpenSans" w:hAnsi="OpenSans" w:cs="OpenSans"/>
        </w:rPr>
      </w:pPr>
      <w:r>
        <w:rPr>
          <w:rFonts w:ascii="OpenSans" w:hAnsi="OpenSans" w:cs="OpenSans"/>
        </w:rPr>
        <w:t xml:space="preserve">NRW stimmte der Einbringung zu. </w:t>
      </w:r>
    </w:p>
    <w:p w14:paraId="49AE4314" w14:textId="3D503F2A" w:rsidR="002D34C6" w:rsidRDefault="002D34C6" w:rsidP="00437669">
      <w:pPr>
        <w:autoSpaceDE w:val="0"/>
        <w:autoSpaceDN w:val="0"/>
        <w:adjustRightInd w:val="0"/>
        <w:spacing w:after="0" w:line="240" w:lineRule="auto"/>
        <w:rPr>
          <w:rFonts w:ascii="OpenSans" w:hAnsi="OpenSans" w:cs="OpenSans"/>
        </w:rPr>
      </w:pPr>
    </w:p>
    <w:p w14:paraId="2DBC6519" w14:textId="56A266A9" w:rsidR="002D34C6" w:rsidRDefault="002D34C6" w:rsidP="002D34C6">
      <w:pPr>
        <w:rPr>
          <w:rFonts w:ascii="OpenSans" w:hAnsi="OpenSans" w:cs="Open Sans"/>
        </w:rPr>
      </w:pPr>
      <w:r w:rsidRPr="009C7F04">
        <w:rPr>
          <w:rFonts w:ascii="OpenSans" w:hAnsi="OpenSans" w:cs="Open Sans"/>
        </w:rPr>
        <w:t xml:space="preserve">Mit dem GE soll die </w:t>
      </w:r>
      <w:r w:rsidRPr="009C7F04">
        <w:rPr>
          <w:rFonts w:ascii="OpenSans" w:hAnsi="OpenSans" w:cs="Open Sans"/>
          <w:b/>
          <w:bCs/>
        </w:rPr>
        <w:t>Einziehung von Kraftfahrzeugen (</w:t>
      </w:r>
      <w:proofErr w:type="spellStart"/>
      <w:r w:rsidRPr="009C7F04">
        <w:rPr>
          <w:rFonts w:ascii="OpenSans" w:hAnsi="OpenSans" w:cs="Open Sans"/>
          <w:b/>
          <w:bCs/>
        </w:rPr>
        <w:t>KfZ</w:t>
      </w:r>
      <w:proofErr w:type="spellEnd"/>
      <w:proofErr w:type="gramStart"/>
      <w:r w:rsidRPr="009C7F04">
        <w:rPr>
          <w:rFonts w:ascii="OpenSans" w:hAnsi="OpenSans" w:cs="Open Sans"/>
          <w:b/>
          <w:bCs/>
        </w:rPr>
        <w:t>) ,</w:t>
      </w:r>
      <w:proofErr w:type="gramEnd"/>
      <w:r w:rsidRPr="009C7F04">
        <w:rPr>
          <w:rFonts w:ascii="OpenSans" w:hAnsi="OpenSans" w:cs="Open Sans"/>
          <w:b/>
          <w:bCs/>
        </w:rPr>
        <w:t xml:space="preserve"> die von Autovermietungen an Straftäter vermietet worden sind, erleichtert werden</w:t>
      </w:r>
      <w:r w:rsidRPr="009C7F04">
        <w:rPr>
          <w:rFonts w:ascii="OpenSans" w:hAnsi="OpenSans" w:cs="Open Sans"/>
        </w:rPr>
        <w:t xml:space="preserve">. Zu diesem Zweck soll bei der Verschuldensmaßstab in </w:t>
      </w:r>
      <w:r w:rsidR="009C7F04">
        <w:rPr>
          <w:rFonts w:ascii="OpenSans" w:hAnsi="OpenSans" w:cs="Open Sans"/>
        </w:rPr>
        <w:t>§</w:t>
      </w:r>
      <w:r w:rsidRPr="009C7F04">
        <w:rPr>
          <w:rFonts w:ascii="OpenSans" w:hAnsi="OpenSans" w:cs="Open Sans"/>
        </w:rPr>
        <w:t xml:space="preserve"> 315f StGB und in § 33 Betäubungsmittelgesetz (BtMG) angepasst werden, so dass auch ein fahrlässiger Beitrag dazu, dass die </w:t>
      </w:r>
      <w:proofErr w:type="spellStart"/>
      <w:r w:rsidRPr="009C7F04">
        <w:rPr>
          <w:rFonts w:ascii="OpenSans" w:hAnsi="OpenSans" w:cs="Open Sans"/>
        </w:rPr>
        <w:t>KfZ</w:t>
      </w:r>
      <w:proofErr w:type="spellEnd"/>
      <w:r w:rsidRPr="009C7F04">
        <w:rPr>
          <w:rFonts w:ascii="OpenSans" w:hAnsi="OpenSans" w:cs="Open Sans"/>
        </w:rPr>
        <w:t xml:space="preserve"> als Tatmittel verwendet werden die Einziehung ermöglicht. Bisher ist dazu ein mindestens leichtfertiger Beitrag erforderlich (§ 74a StGB bzw. § 23 </w:t>
      </w:r>
      <w:proofErr w:type="spellStart"/>
      <w:r w:rsidRPr="009C7F04">
        <w:rPr>
          <w:rFonts w:ascii="OpenSans" w:hAnsi="OpenSans" w:cs="Open Sans"/>
        </w:rPr>
        <w:t>OrdnungswidrigkeitenG</w:t>
      </w:r>
      <w:proofErr w:type="spellEnd"/>
      <w:r w:rsidRPr="009C7F04">
        <w:rPr>
          <w:rFonts w:ascii="OpenSans" w:hAnsi="OpenSans" w:cs="Open Sans"/>
        </w:rPr>
        <w:t xml:space="preserve">). Diese sog. Dritteinziehung fällt in einen aus verfassungsrechtlicher Sicht mit Blick auf das Grundrecht auf Eigentum (Art 14 Absatz 1 GG) sensiblen Bereich. Daher sieht der GE die Anpassung des Verschuldensmaßstabes </w:t>
      </w:r>
      <w:r w:rsidRPr="009C7F04">
        <w:rPr>
          <w:rFonts w:ascii="OpenSans" w:hAnsi="OpenSans" w:cs="Open Sans"/>
          <w:b/>
          <w:bCs/>
        </w:rPr>
        <w:t>nur für die Straftaten nach § 315d StGB (Verbotene Kraftfahrzeugrennen) und für Straftaten und Ordnungswidrigkeiten mit Bezug zu Betäubungsmitteln</w:t>
      </w:r>
      <w:r w:rsidRPr="009C7F04">
        <w:rPr>
          <w:rFonts w:ascii="OpenSans" w:hAnsi="OpenSans" w:cs="Open Sans"/>
        </w:rPr>
        <w:t xml:space="preserve"> (der GE nennt hier die sog. „Kokstaxis“) vor. Begründet wird dies mit der hohen Gefährlichkeit dieser Straftaten für die Bevölkerung. </w:t>
      </w:r>
    </w:p>
    <w:p w14:paraId="08468735" w14:textId="6578510E" w:rsidR="00DC7799" w:rsidRPr="009C7F04" w:rsidRDefault="00DC7799" w:rsidP="002D34C6">
      <w:pPr>
        <w:rPr>
          <w:rFonts w:ascii="OpenSans" w:hAnsi="OpenSans" w:cs="Open Sans"/>
        </w:rPr>
      </w:pPr>
      <w:r>
        <w:rPr>
          <w:rFonts w:ascii="OpenSans" w:hAnsi="OpenSans" w:cs="Open Sans"/>
        </w:rPr>
        <w:t xml:space="preserve">Link: </w:t>
      </w:r>
      <w:hyperlink r:id="rId12" w:tgtFrame="_blank" w:history="1">
        <w:r w:rsidR="006C7EB6">
          <w:rPr>
            <w:rStyle w:val="Hyperlink"/>
          </w:rPr>
          <w:t>https://www.bundesrat.de/bv.html?id=0055-26</w:t>
        </w:r>
      </w:hyperlink>
    </w:p>
    <w:p w14:paraId="4A94137C" w14:textId="77777777" w:rsidR="002D34C6" w:rsidRDefault="002D34C6" w:rsidP="00437669">
      <w:pPr>
        <w:autoSpaceDE w:val="0"/>
        <w:autoSpaceDN w:val="0"/>
        <w:adjustRightInd w:val="0"/>
        <w:spacing w:after="0" w:line="240" w:lineRule="auto"/>
        <w:rPr>
          <w:rFonts w:ascii="OpenSans" w:hAnsi="OpenSans" w:cs="OpenSans"/>
        </w:rPr>
      </w:pPr>
    </w:p>
    <w:p w14:paraId="535DCF7D" w14:textId="77777777" w:rsidR="00437669" w:rsidRDefault="00437669" w:rsidP="00437669">
      <w:pPr>
        <w:autoSpaceDE w:val="0"/>
        <w:autoSpaceDN w:val="0"/>
        <w:adjustRightInd w:val="0"/>
        <w:spacing w:after="0" w:line="240" w:lineRule="auto"/>
        <w:rPr>
          <w:rFonts w:ascii="OpenSans" w:hAnsi="OpenSans" w:cs="OpenSans"/>
        </w:rPr>
      </w:pPr>
    </w:p>
    <w:p w14:paraId="63FD7FB3" w14:textId="77777777" w:rsidR="004860C7" w:rsidRDefault="00437669" w:rsidP="00437669">
      <w:pPr>
        <w:pBdr>
          <w:top w:val="single" w:sz="4" w:space="1" w:color="auto"/>
          <w:left w:val="single" w:sz="4" w:space="4" w:color="auto"/>
          <w:bottom w:val="single" w:sz="4" w:space="1" w:color="auto"/>
          <w:right w:val="single" w:sz="4" w:space="4" w:color="auto"/>
        </w:pBdr>
        <w:rPr>
          <w:rFonts w:ascii="OpenSans" w:hAnsi="OpenSans" w:cs="OpenSans"/>
        </w:rPr>
      </w:pPr>
      <w:r w:rsidRPr="00437669">
        <w:rPr>
          <w:rFonts w:ascii="OpenSans" w:hAnsi="OpenSans" w:cs="OpenSans"/>
        </w:rPr>
        <w:t xml:space="preserve">Entschließung des Bundesrates </w:t>
      </w:r>
      <w:r w:rsidRPr="004860C7">
        <w:rPr>
          <w:rFonts w:ascii="OpenSans" w:hAnsi="OpenSans" w:cs="OpenSans"/>
          <w:b/>
          <w:bCs/>
        </w:rPr>
        <w:t>"Verbesserung des Persönlichkeitsschutzes - Strafbarkeitslücken bei</w:t>
      </w:r>
      <w:r w:rsidR="004860C7" w:rsidRPr="004860C7">
        <w:rPr>
          <w:rFonts w:ascii="OpenSans" w:hAnsi="OpenSans" w:cs="OpenSans"/>
          <w:b/>
          <w:bCs/>
        </w:rPr>
        <w:t xml:space="preserve"> </w:t>
      </w:r>
      <w:r w:rsidRPr="004860C7">
        <w:rPr>
          <w:rFonts w:ascii="OpenSans" w:hAnsi="OpenSans" w:cs="OpenSans"/>
          <w:b/>
          <w:bCs/>
        </w:rPr>
        <w:t>sexuell motivierten Bildaufnahmen schließen"</w:t>
      </w:r>
    </w:p>
    <w:p w14:paraId="484CADE7" w14:textId="7588FBF4" w:rsidR="004860C7" w:rsidRDefault="004860C7" w:rsidP="00437669">
      <w:pPr>
        <w:pBdr>
          <w:top w:val="single" w:sz="4" w:space="1" w:color="auto"/>
          <w:left w:val="single" w:sz="4" w:space="4" w:color="auto"/>
          <w:bottom w:val="single" w:sz="4" w:space="1" w:color="auto"/>
          <w:right w:val="single" w:sz="4" w:space="4" w:color="auto"/>
        </w:pBdr>
        <w:rPr>
          <w:rFonts w:ascii="OpenSans" w:hAnsi="OpenSans" w:cs="OpenSans"/>
        </w:rPr>
      </w:pPr>
      <w:r>
        <w:rPr>
          <w:rFonts w:ascii="OpenSans" w:hAnsi="OpenSans" w:cs="OpenSans"/>
        </w:rPr>
        <w:t>Antrag NI/NW</w:t>
      </w:r>
    </w:p>
    <w:p w14:paraId="73285F61" w14:textId="360C382D" w:rsidR="00437669" w:rsidRPr="004860C7" w:rsidRDefault="00437669" w:rsidP="00437669">
      <w:pPr>
        <w:pBdr>
          <w:top w:val="single" w:sz="4" w:space="1" w:color="auto"/>
          <w:left w:val="single" w:sz="4" w:space="4" w:color="auto"/>
          <w:bottom w:val="single" w:sz="4" w:space="1" w:color="auto"/>
          <w:right w:val="single" w:sz="4" w:space="4" w:color="auto"/>
        </w:pBdr>
        <w:rPr>
          <w:rFonts w:ascii="OpenSans" w:hAnsi="OpenSans" w:cs="OpenSans"/>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sidR="004860C7">
        <w:rPr>
          <w:rFonts w:cstheme="minorHAnsi"/>
          <w:color w:val="000000" w:themeColor="text1"/>
        </w:rPr>
        <w:t>26</w:t>
      </w:r>
      <w:r>
        <w:rPr>
          <w:rFonts w:cstheme="minorHAnsi"/>
          <w:color w:val="000000" w:themeColor="text1"/>
        </w:rPr>
        <w:t>/26</w:t>
      </w:r>
    </w:p>
    <w:p w14:paraId="52FF82C0" w14:textId="0DD3E9AC" w:rsidR="00437669" w:rsidRDefault="00437669" w:rsidP="00437669">
      <w:pPr>
        <w:autoSpaceDE w:val="0"/>
        <w:autoSpaceDN w:val="0"/>
        <w:adjustRightInd w:val="0"/>
        <w:spacing w:after="0" w:line="240" w:lineRule="auto"/>
        <w:rPr>
          <w:rFonts w:ascii="OpenSans" w:hAnsi="OpenSans" w:cs="OpenSans"/>
        </w:rPr>
      </w:pPr>
    </w:p>
    <w:p w14:paraId="15B81E5D" w14:textId="061C0A9F" w:rsidR="004860C7" w:rsidRDefault="004860C7" w:rsidP="00437669">
      <w:pPr>
        <w:autoSpaceDE w:val="0"/>
        <w:autoSpaceDN w:val="0"/>
        <w:adjustRightInd w:val="0"/>
        <w:spacing w:after="0" w:line="240" w:lineRule="auto"/>
        <w:rPr>
          <w:rFonts w:ascii="OpenSans" w:hAnsi="OpenSans" w:cs="OpenSans"/>
        </w:rPr>
      </w:pPr>
      <w:r>
        <w:rPr>
          <w:rFonts w:ascii="OpenSans" w:hAnsi="OpenSans" w:cs="OpenSans"/>
        </w:rPr>
        <w:t xml:space="preserve">Der Bundesrat fasste die Entschließung. </w:t>
      </w:r>
    </w:p>
    <w:p w14:paraId="7CD01BF9" w14:textId="0DE5CD15" w:rsidR="004860C7" w:rsidRDefault="004860C7" w:rsidP="00437669">
      <w:pPr>
        <w:autoSpaceDE w:val="0"/>
        <w:autoSpaceDN w:val="0"/>
        <w:adjustRightInd w:val="0"/>
        <w:spacing w:after="0" w:line="240" w:lineRule="auto"/>
        <w:rPr>
          <w:rFonts w:ascii="OpenSans" w:hAnsi="OpenSans" w:cs="OpenSans"/>
        </w:rPr>
      </w:pPr>
      <w:r>
        <w:rPr>
          <w:rFonts w:ascii="OpenSans" w:hAnsi="OpenSans" w:cs="OpenSans"/>
        </w:rPr>
        <w:t>NRW stimmte dem Fassen der Entschließung zu.</w:t>
      </w:r>
    </w:p>
    <w:p w14:paraId="43F95819" w14:textId="4FB59D22" w:rsidR="009C7F04" w:rsidRDefault="009C7F04" w:rsidP="00437669">
      <w:pPr>
        <w:autoSpaceDE w:val="0"/>
        <w:autoSpaceDN w:val="0"/>
        <w:adjustRightInd w:val="0"/>
        <w:spacing w:after="0" w:line="240" w:lineRule="auto"/>
        <w:rPr>
          <w:rFonts w:ascii="OpenSans" w:hAnsi="OpenSans" w:cs="OpenSans"/>
        </w:rPr>
      </w:pPr>
    </w:p>
    <w:p w14:paraId="6A4AFE59" w14:textId="1F873AFF" w:rsidR="009C7F04" w:rsidRDefault="009C7F04" w:rsidP="009C7F04">
      <w:pPr>
        <w:rPr>
          <w:rFonts w:ascii="OpenSans" w:hAnsi="OpenSans" w:cs="Open Sans"/>
        </w:rPr>
      </w:pPr>
      <w:r w:rsidRPr="009C7F04">
        <w:rPr>
          <w:rFonts w:ascii="OpenSans" w:hAnsi="OpenSans" w:cs="Open Sans"/>
        </w:rPr>
        <w:t xml:space="preserve">Die Entschließung thematisiert die </w:t>
      </w:r>
      <w:r w:rsidRPr="009C7F04">
        <w:rPr>
          <w:rFonts w:ascii="OpenSans" w:hAnsi="OpenSans" w:cs="Open Sans"/>
          <w:b/>
          <w:bCs/>
        </w:rPr>
        <w:t xml:space="preserve">strafrechtliche Erfassung von sexuell motivierten Bildaufnahmen, die gegen den Willen </w:t>
      </w:r>
      <w:r>
        <w:rPr>
          <w:rFonts w:ascii="OpenSans" w:hAnsi="OpenSans" w:cs="Open Sans"/>
          <w:b/>
          <w:bCs/>
        </w:rPr>
        <w:t xml:space="preserve">der Betroffenen </w:t>
      </w:r>
      <w:r w:rsidRPr="009C7F04">
        <w:rPr>
          <w:rFonts w:ascii="OpenSans" w:hAnsi="OpenSans" w:cs="Open Sans"/>
          <w:b/>
          <w:bCs/>
        </w:rPr>
        <w:t>oder heimlich in der Öffentlichkeit oder an öffentlich zugänglichen Orten aufgenommen werden</w:t>
      </w:r>
      <w:r w:rsidRPr="009C7F04">
        <w:rPr>
          <w:rFonts w:ascii="OpenSans" w:hAnsi="OpenSans" w:cs="Open Sans"/>
        </w:rPr>
        <w:t xml:space="preserve">. Der Bundesrat soll feststellen, dass das unbefugte Herstellen solcher Bildaufnahmen einen erheblichen Eingriff in das Recht auf sexuelle Selbstbestimmung in Verbindung mit dem Recht am eigenen Bild darstellt und schwere Folgen für die Opfer haben kann. Die </w:t>
      </w:r>
      <w:r w:rsidRPr="009C7F04">
        <w:rPr>
          <w:rFonts w:ascii="OpenSans" w:hAnsi="OpenSans" w:cs="Open Sans"/>
          <w:b/>
          <w:bCs/>
        </w:rPr>
        <w:t>Bundesregierung wird gebeten, zeitnah einen Gesetzesentwurf vorzulegen, um bestehende Strafbarkeitslücken zu schließen</w:t>
      </w:r>
      <w:r w:rsidRPr="009C7F04">
        <w:rPr>
          <w:rFonts w:ascii="OpenSans" w:hAnsi="OpenSans" w:cs="Open Sans"/>
        </w:rPr>
        <w:t xml:space="preserve">. Ermöglicht werden soll auch die </w:t>
      </w:r>
      <w:r w:rsidRPr="009C7F04">
        <w:rPr>
          <w:rFonts w:ascii="OpenSans" w:hAnsi="OpenSans" w:cs="Open Sans"/>
        </w:rPr>
        <w:lastRenderedPageBreak/>
        <w:t xml:space="preserve">Einziehung der verwendeten Tatmittel. In der Begründung werden die bestehenden Strafbarkeitslücken dargelegt und auf prominente Fälle aus Köln und Leipzig aus der jüngsten Zeit verwiesen, bei denen Frauen beim Joggen bzw. unbekleidet in der Sauna gefilmt wurden, eine Strafbarkeit nach geltender Rechtslage jedoch nicht gegeben ist. </w:t>
      </w:r>
    </w:p>
    <w:p w14:paraId="3890F7C2" w14:textId="600D06E2" w:rsidR="006C7EB6" w:rsidRPr="009C7F04" w:rsidRDefault="006C7EB6" w:rsidP="009C7F04">
      <w:pPr>
        <w:rPr>
          <w:rFonts w:ascii="OpenSans" w:hAnsi="OpenSans" w:cs="Open Sans"/>
        </w:rPr>
      </w:pPr>
      <w:r>
        <w:rPr>
          <w:rFonts w:ascii="OpenSans" w:hAnsi="OpenSans" w:cs="Open Sans"/>
        </w:rPr>
        <w:t xml:space="preserve">Link: </w:t>
      </w:r>
      <w:hyperlink r:id="rId13" w:tgtFrame="_blank" w:history="1">
        <w:r>
          <w:rPr>
            <w:rStyle w:val="Hyperlink"/>
          </w:rPr>
          <w:t>https://www.bundesrat.de/bv.html?id=0026-26</w:t>
        </w:r>
      </w:hyperlink>
    </w:p>
    <w:p w14:paraId="055A0A54" w14:textId="77777777" w:rsidR="009C7F04" w:rsidRDefault="009C7F04" w:rsidP="00437669">
      <w:pPr>
        <w:autoSpaceDE w:val="0"/>
        <w:autoSpaceDN w:val="0"/>
        <w:adjustRightInd w:val="0"/>
        <w:spacing w:after="0" w:line="240" w:lineRule="auto"/>
        <w:rPr>
          <w:rFonts w:ascii="OpenSans" w:hAnsi="OpenSans" w:cs="OpenSans"/>
        </w:rPr>
      </w:pPr>
    </w:p>
    <w:p w14:paraId="47972AE6" w14:textId="77777777" w:rsidR="004860C7" w:rsidRDefault="004860C7" w:rsidP="00437669">
      <w:pPr>
        <w:autoSpaceDE w:val="0"/>
        <w:autoSpaceDN w:val="0"/>
        <w:adjustRightInd w:val="0"/>
        <w:spacing w:after="0" w:line="240" w:lineRule="auto"/>
        <w:rPr>
          <w:rFonts w:ascii="OpenSans" w:hAnsi="OpenSans" w:cs="OpenSans"/>
        </w:rPr>
      </w:pPr>
    </w:p>
    <w:p w14:paraId="10AE5851" w14:textId="35841D39" w:rsidR="004860C7" w:rsidRDefault="004860C7" w:rsidP="004860C7">
      <w:pPr>
        <w:pBdr>
          <w:top w:val="single" w:sz="4" w:space="1" w:color="auto"/>
          <w:left w:val="single" w:sz="4" w:space="4" w:color="auto"/>
          <w:bottom w:val="single" w:sz="4" w:space="1" w:color="auto"/>
          <w:right w:val="single" w:sz="4" w:space="4" w:color="auto"/>
        </w:pBdr>
        <w:rPr>
          <w:rFonts w:ascii="OpenSans" w:hAnsi="OpenSans" w:cs="OpenSans"/>
          <w:b/>
          <w:bCs/>
        </w:rPr>
      </w:pPr>
      <w:r w:rsidRPr="004860C7">
        <w:rPr>
          <w:rFonts w:ascii="OpenSans" w:hAnsi="OpenSans" w:cs="OpenSans"/>
        </w:rPr>
        <w:t xml:space="preserve">Entschließung des Bundesrates </w:t>
      </w:r>
      <w:r w:rsidRPr="004860C7">
        <w:rPr>
          <w:rFonts w:ascii="OpenSans" w:hAnsi="OpenSans" w:cs="OpenSans"/>
          <w:b/>
          <w:bCs/>
        </w:rPr>
        <w:t>zur strafrechtlichen</w:t>
      </w:r>
      <w:r w:rsidRPr="004860C7">
        <w:rPr>
          <w:rFonts w:ascii="OpenSans" w:hAnsi="OpenSans" w:cs="OpenSans"/>
          <w:b/>
          <w:bCs/>
        </w:rPr>
        <w:t xml:space="preserve"> </w:t>
      </w:r>
      <w:r w:rsidRPr="004860C7">
        <w:rPr>
          <w:rFonts w:ascii="OpenSans" w:hAnsi="OpenSans" w:cs="OpenSans"/>
          <w:b/>
          <w:bCs/>
        </w:rPr>
        <w:t>Ahndung extremistischer Kennzeichen im schulischen</w:t>
      </w:r>
      <w:r w:rsidRPr="004860C7">
        <w:rPr>
          <w:rFonts w:ascii="OpenSans" w:hAnsi="OpenSans" w:cs="OpenSans"/>
          <w:b/>
          <w:bCs/>
        </w:rPr>
        <w:t xml:space="preserve"> </w:t>
      </w:r>
      <w:r w:rsidRPr="004860C7">
        <w:rPr>
          <w:rFonts w:ascii="OpenSans" w:hAnsi="OpenSans" w:cs="OpenSans"/>
          <w:b/>
          <w:bCs/>
        </w:rPr>
        <w:t>Bereich (§ 86a StGB)</w:t>
      </w:r>
    </w:p>
    <w:p w14:paraId="2861F185" w14:textId="04CC1770" w:rsidR="004860C7" w:rsidRPr="004860C7" w:rsidRDefault="004860C7" w:rsidP="004860C7">
      <w:pPr>
        <w:pBdr>
          <w:top w:val="single" w:sz="4" w:space="1" w:color="auto"/>
          <w:left w:val="single" w:sz="4" w:space="4" w:color="auto"/>
          <w:bottom w:val="single" w:sz="4" w:space="1" w:color="auto"/>
          <w:right w:val="single" w:sz="4" w:space="4" w:color="auto"/>
        </w:pBdr>
        <w:rPr>
          <w:rFonts w:ascii="OpenSans" w:hAnsi="OpenSans" w:cs="OpenSans"/>
        </w:rPr>
      </w:pPr>
      <w:r w:rsidRPr="004860C7">
        <w:rPr>
          <w:rFonts w:ascii="OpenSans" w:hAnsi="OpenSans" w:cs="OpenSans"/>
        </w:rPr>
        <w:t>Antrag TH</w:t>
      </w:r>
    </w:p>
    <w:p w14:paraId="737AA0C5" w14:textId="0C976DFD" w:rsidR="00437669" w:rsidRDefault="00437669" w:rsidP="004860C7">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sidR="004860C7">
        <w:rPr>
          <w:rFonts w:cstheme="minorHAnsi"/>
          <w:color w:val="000000" w:themeColor="text1"/>
        </w:rPr>
        <w:t>39</w:t>
      </w:r>
      <w:r>
        <w:rPr>
          <w:rFonts w:cstheme="minorHAnsi"/>
          <w:color w:val="000000" w:themeColor="text1"/>
        </w:rPr>
        <w:t>/26</w:t>
      </w:r>
    </w:p>
    <w:p w14:paraId="1FCF3053" w14:textId="77777777" w:rsidR="00437669" w:rsidRDefault="00437669" w:rsidP="00437669">
      <w:pPr>
        <w:autoSpaceDE w:val="0"/>
        <w:autoSpaceDN w:val="0"/>
        <w:adjustRightInd w:val="0"/>
        <w:spacing w:after="0" w:line="240" w:lineRule="auto"/>
        <w:rPr>
          <w:rFonts w:ascii="OpenSans" w:hAnsi="OpenSans" w:cs="OpenSans"/>
        </w:rPr>
      </w:pPr>
    </w:p>
    <w:p w14:paraId="3BFA3622" w14:textId="77777777" w:rsidR="004860C7" w:rsidRDefault="004860C7" w:rsidP="004860C7">
      <w:pPr>
        <w:autoSpaceDE w:val="0"/>
        <w:autoSpaceDN w:val="0"/>
        <w:adjustRightInd w:val="0"/>
        <w:spacing w:after="0" w:line="240" w:lineRule="auto"/>
        <w:rPr>
          <w:rFonts w:ascii="OpenSans" w:hAnsi="OpenSans" w:cs="OpenSans"/>
        </w:rPr>
      </w:pPr>
      <w:r>
        <w:rPr>
          <w:rFonts w:ascii="OpenSans" w:hAnsi="OpenSans" w:cs="OpenSans"/>
        </w:rPr>
        <w:t xml:space="preserve">Der Bundesrat fasste die Entschließung. </w:t>
      </w:r>
    </w:p>
    <w:p w14:paraId="08FB8E05" w14:textId="7C04D90F" w:rsidR="004860C7" w:rsidRDefault="004860C7" w:rsidP="004860C7">
      <w:pPr>
        <w:autoSpaceDE w:val="0"/>
        <w:autoSpaceDN w:val="0"/>
        <w:adjustRightInd w:val="0"/>
        <w:spacing w:after="0" w:line="240" w:lineRule="auto"/>
        <w:rPr>
          <w:rFonts w:ascii="OpenSans" w:hAnsi="OpenSans" w:cs="OpenSans"/>
        </w:rPr>
      </w:pPr>
      <w:r>
        <w:rPr>
          <w:rFonts w:ascii="OpenSans" w:hAnsi="OpenSans" w:cs="OpenSans"/>
        </w:rPr>
        <w:t>NRW stimmte dem Fassen der Entschließung zu.</w:t>
      </w:r>
    </w:p>
    <w:p w14:paraId="61081CAB" w14:textId="0F40AEA8" w:rsidR="009C7F04" w:rsidRDefault="009C7F04" w:rsidP="004860C7">
      <w:pPr>
        <w:autoSpaceDE w:val="0"/>
        <w:autoSpaceDN w:val="0"/>
        <w:adjustRightInd w:val="0"/>
        <w:spacing w:after="0" w:line="240" w:lineRule="auto"/>
        <w:rPr>
          <w:rFonts w:ascii="OpenSans" w:hAnsi="OpenSans" w:cs="OpenSans"/>
        </w:rPr>
      </w:pPr>
    </w:p>
    <w:p w14:paraId="228F7457" w14:textId="36330F0F" w:rsidR="009C7F04" w:rsidRPr="009C7F04" w:rsidRDefault="009C7F04" w:rsidP="009C7F04">
      <w:pPr>
        <w:rPr>
          <w:rFonts w:ascii="OpenSans" w:hAnsi="OpenSans" w:cs="Open Sans"/>
        </w:rPr>
      </w:pPr>
      <w:r w:rsidRPr="009C7F04">
        <w:rPr>
          <w:rFonts w:ascii="OpenSans" w:hAnsi="OpenSans" w:cs="Open Sans"/>
          <w:b/>
          <w:bCs/>
        </w:rPr>
        <w:t>Die Entschließung befasst sich mit der strafrechtlichen Ahndung von Kennzeichen verfassungswidriger Organisationen in Schulen.</w:t>
      </w:r>
      <w:r w:rsidRPr="009C7F04">
        <w:rPr>
          <w:rFonts w:ascii="OpenSans" w:hAnsi="OpenSans" w:cs="Open Sans"/>
        </w:rPr>
        <w:t xml:space="preserve"> Die </w:t>
      </w:r>
      <w:r w:rsidRPr="009C7F04">
        <w:rPr>
          <w:rFonts w:ascii="OpenSans" w:hAnsi="OpenSans" w:cs="Open Sans"/>
          <w:b/>
          <w:bCs/>
        </w:rPr>
        <w:t>Verwendung dieser Kennzeichen durch Schülerinnen und Schüler sei dann nicht strafbar, wenn diese nur im Klassenverband wahrgenommen werden, weil nicht von einem öffentlichen Verwenden im Sinne des § 86a Absatz 1 Nr. 1 StGB ausgegangen werden kann</w:t>
      </w:r>
      <w:r w:rsidRPr="009C7F04">
        <w:rPr>
          <w:rFonts w:ascii="OpenSans" w:hAnsi="OpenSans" w:cs="Open Sans"/>
        </w:rPr>
        <w:t>. Um de</w:t>
      </w:r>
      <w:r>
        <w:rPr>
          <w:rFonts w:ascii="OpenSans" w:hAnsi="OpenSans" w:cs="Open Sans"/>
        </w:rPr>
        <w:t>m</w:t>
      </w:r>
      <w:r w:rsidRPr="009C7F04">
        <w:rPr>
          <w:rFonts w:ascii="OpenSans" w:hAnsi="OpenSans" w:cs="Open Sans"/>
        </w:rPr>
        <w:t xml:space="preserve"> Eindruck der Duldung verfassungswidriger Bestrebung und der Gefahr einer zunehmenden Normalisierung des Verwendens verfassungswidriger Kennzeichen entgegenzutreten, insbesondere auch mit den erzieherischen Mittel des Jugendstrafrechts, sei in Betracht zu ziehen, diese Strafbarkeitslücke zu schließen. </w:t>
      </w:r>
      <w:r w:rsidRPr="009C7F04">
        <w:rPr>
          <w:rFonts w:ascii="OpenSans" w:hAnsi="OpenSans" w:cs="Open Sans"/>
          <w:b/>
          <w:bCs/>
        </w:rPr>
        <w:t>Die Bundesregierung wird um Prüfung einer entsprechenden</w:t>
      </w:r>
      <w:r w:rsidRPr="009C7F04">
        <w:rPr>
          <w:rFonts w:ascii="OpenSans" w:hAnsi="OpenSans" w:cs="Open Sans"/>
        </w:rPr>
        <w:t xml:space="preserve"> </w:t>
      </w:r>
      <w:r w:rsidRPr="009C7F04">
        <w:rPr>
          <w:rFonts w:ascii="OpenSans" w:hAnsi="OpenSans" w:cs="Open Sans"/>
          <w:b/>
          <w:bCs/>
        </w:rPr>
        <w:t>Erweiterung des § 86a Absatz 1 Nummer 1 StGB auf das nicht öffentliche Verwenden von Kennzeichen verfassungswidriger Organisationen im schulischen Bereich</w:t>
      </w:r>
      <w:r w:rsidRPr="009C7F04">
        <w:rPr>
          <w:rFonts w:ascii="OpenSans" w:hAnsi="OpenSans" w:cs="Open Sans"/>
        </w:rPr>
        <w:t xml:space="preserve"> </w:t>
      </w:r>
      <w:r w:rsidRPr="009C7F04">
        <w:rPr>
          <w:rFonts w:ascii="OpenSans" w:hAnsi="OpenSans" w:cs="Open Sans"/>
          <w:b/>
          <w:bCs/>
        </w:rPr>
        <w:t>gebeten</w:t>
      </w:r>
      <w:r w:rsidRPr="009C7F04">
        <w:rPr>
          <w:rFonts w:ascii="OpenSans" w:hAnsi="OpenSans" w:cs="Open Sans"/>
        </w:rPr>
        <w:t>. In der Begründung wird auf das besorgniserregende Wiedererstarken extremistischer Tendenzen in weiten Teilen der Gesellschaft verwiesen. Im schulischen Kontext gehe diese Entwicklung bundesweit mit einer Zunahme rechtsextremistischer Vorfälle einher. Neben dem Rechtsextremismus berichteten Schulen aber auch über die Verwendung von Kennzeichen aus dem Bereich Islamismus, Antisemitismus und Linksextremismus.</w:t>
      </w:r>
    </w:p>
    <w:p w14:paraId="3F79110A" w14:textId="55B05046" w:rsidR="009C7F04" w:rsidRDefault="006C7EB6" w:rsidP="004860C7">
      <w:pPr>
        <w:autoSpaceDE w:val="0"/>
        <w:autoSpaceDN w:val="0"/>
        <w:adjustRightInd w:val="0"/>
        <w:spacing w:after="0" w:line="240" w:lineRule="auto"/>
        <w:rPr>
          <w:rFonts w:ascii="OpenSans" w:hAnsi="OpenSans" w:cs="OpenSans"/>
        </w:rPr>
      </w:pPr>
      <w:r>
        <w:rPr>
          <w:rFonts w:ascii="OpenSans" w:hAnsi="OpenSans" w:cs="OpenSans"/>
        </w:rPr>
        <w:t xml:space="preserve">Link: </w:t>
      </w:r>
      <w:hyperlink r:id="rId14" w:tgtFrame="_blank" w:history="1">
        <w:r>
          <w:rPr>
            <w:rStyle w:val="Hyperlink"/>
          </w:rPr>
          <w:t>https://www.bundesrat.de/bv.html?id=0039-26</w:t>
        </w:r>
      </w:hyperlink>
    </w:p>
    <w:p w14:paraId="58ECE2FE" w14:textId="12CD0B4F" w:rsidR="004860C7" w:rsidRDefault="004860C7" w:rsidP="004860C7">
      <w:pPr>
        <w:autoSpaceDE w:val="0"/>
        <w:autoSpaceDN w:val="0"/>
        <w:adjustRightInd w:val="0"/>
        <w:spacing w:after="0" w:line="240" w:lineRule="auto"/>
        <w:rPr>
          <w:rFonts w:ascii="OpenSans" w:hAnsi="OpenSans" w:cs="OpenSans"/>
        </w:rPr>
      </w:pPr>
    </w:p>
    <w:p w14:paraId="42003B8C" w14:textId="5FD5798E" w:rsidR="004860C7" w:rsidRDefault="004860C7" w:rsidP="004860C7">
      <w:pPr>
        <w:pBdr>
          <w:top w:val="single" w:sz="4" w:space="1" w:color="auto"/>
          <w:left w:val="single" w:sz="4" w:space="4" w:color="auto"/>
          <w:bottom w:val="single" w:sz="4" w:space="1" w:color="auto"/>
          <w:right w:val="single" w:sz="4" w:space="4" w:color="auto"/>
        </w:pBdr>
        <w:rPr>
          <w:rFonts w:ascii="OpenSans" w:hAnsi="OpenSans" w:cs="OpenSans"/>
        </w:rPr>
      </w:pPr>
      <w:r w:rsidRPr="004860C7">
        <w:rPr>
          <w:rFonts w:ascii="OpenSans" w:hAnsi="OpenSans" w:cs="OpenSans"/>
        </w:rPr>
        <w:t xml:space="preserve">Entschließung des Bundesrates </w:t>
      </w:r>
      <w:r w:rsidRPr="004860C7">
        <w:rPr>
          <w:rFonts w:ascii="OpenSans" w:hAnsi="OpenSans" w:cs="OpenSans"/>
          <w:b/>
          <w:bCs/>
        </w:rPr>
        <w:t>"Ganzheitliches</w:t>
      </w:r>
      <w:r w:rsidRPr="004860C7">
        <w:rPr>
          <w:rFonts w:ascii="OpenSans" w:hAnsi="OpenSans" w:cs="OpenSans"/>
          <w:b/>
          <w:bCs/>
        </w:rPr>
        <w:t xml:space="preserve"> </w:t>
      </w:r>
      <w:r w:rsidRPr="004860C7">
        <w:rPr>
          <w:rFonts w:ascii="OpenSans" w:hAnsi="OpenSans" w:cs="OpenSans"/>
          <w:b/>
          <w:bCs/>
        </w:rPr>
        <w:t>Konzept gegen häusliche Gewalt - Lücken im</w:t>
      </w:r>
      <w:r w:rsidRPr="004860C7">
        <w:rPr>
          <w:rFonts w:ascii="OpenSans" w:hAnsi="OpenSans" w:cs="OpenSans"/>
          <w:b/>
          <w:bCs/>
        </w:rPr>
        <w:t xml:space="preserve"> </w:t>
      </w:r>
      <w:r w:rsidRPr="004860C7">
        <w:rPr>
          <w:rFonts w:ascii="OpenSans" w:hAnsi="OpenSans" w:cs="OpenSans"/>
          <w:b/>
          <w:bCs/>
        </w:rPr>
        <w:t>familiengerichtlichen Verfahrensrecht schließen"</w:t>
      </w:r>
    </w:p>
    <w:p w14:paraId="5BEA0BA1" w14:textId="7D949FA9" w:rsidR="004860C7" w:rsidRPr="004860C7" w:rsidRDefault="004860C7" w:rsidP="004860C7">
      <w:pPr>
        <w:pBdr>
          <w:top w:val="single" w:sz="4" w:space="1" w:color="auto"/>
          <w:left w:val="single" w:sz="4" w:space="4" w:color="auto"/>
          <w:bottom w:val="single" w:sz="4" w:space="1" w:color="auto"/>
          <w:right w:val="single" w:sz="4" w:space="4" w:color="auto"/>
        </w:pBdr>
        <w:rPr>
          <w:rFonts w:ascii="OpenSans" w:hAnsi="OpenSans" w:cs="OpenSans"/>
        </w:rPr>
      </w:pPr>
      <w:r w:rsidRPr="004860C7">
        <w:rPr>
          <w:rFonts w:ascii="OpenSans" w:hAnsi="OpenSans" w:cs="OpenSans"/>
        </w:rPr>
        <w:t xml:space="preserve">Antrag </w:t>
      </w:r>
      <w:r>
        <w:rPr>
          <w:rFonts w:ascii="OpenSans" w:hAnsi="OpenSans" w:cs="OpenSans"/>
        </w:rPr>
        <w:t>HE</w:t>
      </w:r>
    </w:p>
    <w:p w14:paraId="3CCD18CC" w14:textId="4AF96C36" w:rsidR="004860C7" w:rsidRDefault="004860C7" w:rsidP="004860C7">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Pr>
          <w:rFonts w:cstheme="minorHAnsi"/>
          <w:color w:val="000000" w:themeColor="text1"/>
        </w:rPr>
        <w:t>105</w:t>
      </w:r>
      <w:r>
        <w:rPr>
          <w:rFonts w:cstheme="minorHAnsi"/>
          <w:color w:val="000000" w:themeColor="text1"/>
        </w:rPr>
        <w:t>/26</w:t>
      </w:r>
    </w:p>
    <w:p w14:paraId="5F3791CA" w14:textId="08F99309" w:rsidR="004860C7" w:rsidRDefault="004860C7" w:rsidP="004860C7">
      <w:pPr>
        <w:autoSpaceDE w:val="0"/>
        <w:autoSpaceDN w:val="0"/>
        <w:adjustRightInd w:val="0"/>
        <w:spacing w:after="0" w:line="240" w:lineRule="auto"/>
        <w:rPr>
          <w:rFonts w:ascii="OpenSans" w:hAnsi="OpenSans" w:cs="OpenSans"/>
        </w:rPr>
      </w:pPr>
      <w:r>
        <w:rPr>
          <w:rFonts w:ascii="OpenSans" w:hAnsi="OpenSans" w:cs="OpenSans"/>
        </w:rPr>
        <w:t>Die Entschließung wurde in die Ausschüsse</w:t>
      </w:r>
      <w:r>
        <w:rPr>
          <w:rFonts w:ascii="OpenSans" w:hAnsi="OpenSans" w:cs="OpenSans"/>
        </w:rPr>
        <w:t xml:space="preserve"> </w:t>
      </w:r>
      <w:r>
        <w:rPr>
          <w:rFonts w:ascii="OpenSans" w:hAnsi="OpenSans" w:cs="OpenSans"/>
        </w:rPr>
        <w:t>(R – FSFJ – In) überwiesen.</w:t>
      </w:r>
    </w:p>
    <w:p w14:paraId="2656590E" w14:textId="1B87914A" w:rsidR="004860C7" w:rsidRDefault="004860C7" w:rsidP="004860C7">
      <w:pPr>
        <w:autoSpaceDE w:val="0"/>
        <w:autoSpaceDN w:val="0"/>
        <w:adjustRightInd w:val="0"/>
        <w:spacing w:after="0" w:line="240" w:lineRule="auto"/>
        <w:rPr>
          <w:rFonts w:ascii="OpenSans" w:hAnsi="OpenSans" w:cs="OpenSans"/>
        </w:rPr>
      </w:pPr>
    </w:p>
    <w:p w14:paraId="61A28344" w14:textId="77777777" w:rsidR="00885F35" w:rsidRPr="00885F35" w:rsidRDefault="00885F35" w:rsidP="00885F35">
      <w:pPr>
        <w:rPr>
          <w:rFonts w:ascii="OpenSans" w:hAnsi="OpenSans" w:cs="Open Sans"/>
          <w:b/>
          <w:bCs/>
        </w:rPr>
      </w:pPr>
      <w:r w:rsidRPr="00885F35">
        <w:rPr>
          <w:rFonts w:ascii="OpenSans" w:hAnsi="OpenSans" w:cs="Open Sans"/>
          <w:b/>
          <w:bCs/>
        </w:rPr>
        <w:t xml:space="preserve">Die Entschließung befasst sich mit der Zunahme der Fälle häuslicher Gewalt </w:t>
      </w:r>
      <w:r w:rsidRPr="00885F35">
        <w:rPr>
          <w:rFonts w:ascii="OpenSans" w:hAnsi="OpenSans" w:cs="Open Sans"/>
        </w:rPr>
        <w:t>unter Bezugnahme auf das vom BKA veröffentlichte „Bundeslagebild Häusliche Gewalt 2024“ sowie auf die ersten Ergebnisse der Dunkelfeld-Opferbefragung Lebenssituation, Sicherheit und Belastung im Alltag“ (</w:t>
      </w:r>
      <w:proofErr w:type="spellStart"/>
      <w:r w:rsidRPr="00885F35">
        <w:rPr>
          <w:rFonts w:ascii="OpenSans" w:hAnsi="OpenSans" w:cs="Open Sans"/>
        </w:rPr>
        <w:t>LeSuBiA</w:t>
      </w:r>
      <w:proofErr w:type="spellEnd"/>
      <w:r w:rsidRPr="00885F35">
        <w:rPr>
          <w:rFonts w:ascii="OpenSans" w:hAnsi="OpenSans" w:cs="Open Sans"/>
        </w:rPr>
        <w:t>).</w:t>
      </w:r>
      <w:r w:rsidRPr="00885F35">
        <w:rPr>
          <w:rFonts w:ascii="OpenSans" w:hAnsi="OpenSans" w:cs="Open Sans"/>
          <w:b/>
          <w:bCs/>
        </w:rPr>
        <w:t xml:space="preserve"> </w:t>
      </w:r>
      <w:r w:rsidRPr="00885F35">
        <w:rPr>
          <w:rFonts w:ascii="OpenSans" w:hAnsi="OpenSans" w:cs="Open Sans"/>
        </w:rPr>
        <w:t>Diese zeigen einen</w:t>
      </w:r>
      <w:r w:rsidRPr="00885F35">
        <w:rPr>
          <w:rFonts w:ascii="OpenSans" w:hAnsi="OpenSans" w:cs="Open Sans"/>
          <w:b/>
          <w:bCs/>
        </w:rPr>
        <w:t xml:space="preserve"> Anstieg der Fälle, eine geringe Anzeigequote und eine hohe Prävalenz </w:t>
      </w:r>
      <w:r w:rsidRPr="00885F35">
        <w:rPr>
          <w:rFonts w:ascii="OpenSans" w:hAnsi="OpenSans" w:cs="Open Sans"/>
          <w:b/>
          <w:bCs/>
        </w:rPr>
        <w:lastRenderedPageBreak/>
        <w:t xml:space="preserve">der Opfer in der Gesamtbevölkerung. </w:t>
      </w:r>
      <w:r w:rsidRPr="00885F35">
        <w:rPr>
          <w:rFonts w:ascii="OpenSans" w:hAnsi="OpenSans" w:cs="Open Sans"/>
        </w:rPr>
        <w:t xml:space="preserve">Vor diesem Hintergrund wird ein ganzheitliches Konzept zum Schutz der Opfer häuslicher Gewalt und eine noch konsequentere Umsetzung der Istanbul-Konvention des Europarates gefordert. </w:t>
      </w:r>
      <w:r w:rsidRPr="00885F35">
        <w:rPr>
          <w:rFonts w:ascii="OpenSans" w:hAnsi="OpenSans" w:cs="Open Sans"/>
          <w:b/>
          <w:bCs/>
        </w:rPr>
        <w:t>Konkret wird die BReg aufgefordert einen GE vorzulegen, der das familiengerichtliche Verfahren wie folgt anpassen soll:</w:t>
      </w:r>
    </w:p>
    <w:p w14:paraId="3292BF24" w14:textId="77777777" w:rsidR="00885F35" w:rsidRPr="00885F35" w:rsidRDefault="00885F35" w:rsidP="00885F35">
      <w:pPr>
        <w:pStyle w:val="Listenabsatz"/>
        <w:numPr>
          <w:ilvl w:val="0"/>
          <w:numId w:val="39"/>
        </w:numPr>
        <w:rPr>
          <w:rFonts w:ascii="OpenSans" w:hAnsi="OpenSans" w:cs="Open Sans"/>
        </w:rPr>
      </w:pPr>
      <w:r w:rsidRPr="00885F35">
        <w:rPr>
          <w:rFonts w:ascii="OpenSans" w:hAnsi="OpenSans" w:cs="Open Sans"/>
        </w:rPr>
        <w:t>Einführung eines Wahlgerichtsstandes für gewaltbetroffene Elternteile</w:t>
      </w:r>
    </w:p>
    <w:p w14:paraId="42BB9016" w14:textId="77777777" w:rsidR="00885F35" w:rsidRPr="00885F35" w:rsidRDefault="00885F35" w:rsidP="00885F35">
      <w:pPr>
        <w:pStyle w:val="Listenabsatz"/>
        <w:numPr>
          <w:ilvl w:val="0"/>
          <w:numId w:val="39"/>
        </w:numPr>
        <w:rPr>
          <w:rFonts w:ascii="OpenSans" w:hAnsi="OpenSans" w:cs="Open Sans"/>
        </w:rPr>
      </w:pPr>
      <w:r w:rsidRPr="00885F35">
        <w:rPr>
          <w:rFonts w:ascii="OpenSans" w:hAnsi="OpenSans" w:cs="Open Sans"/>
        </w:rPr>
        <w:t>Konkretisierung der Amtsermittlungspflicht des Familiengerichts</w:t>
      </w:r>
    </w:p>
    <w:p w14:paraId="309364D3" w14:textId="77777777" w:rsidR="00885F35" w:rsidRPr="00885F35" w:rsidRDefault="00885F35" w:rsidP="00885F35">
      <w:pPr>
        <w:pStyle w:val="Listenabsatz"/>
        <w:numPr>
          <w:ilvl w:val="0"/>
          <w:numId w:val="39"/>
        </w:numPr>
        <w:rPr>
          <w:rFonts w:ascii="OpenSans" w:hAnsi="OpenSans" w:cs="Open Sans"/>
        </w:rPr>
      </w:pPr>
      <w:r w:rsidRPr="00885F35">
        <w:rPr>
          <w:rFonts w:ascii="OpenSans" w:hAnsi="OpenSans" w:cs="Open Sans"/>
        </w:rPr>
        <w:t>Verfahrenserleichterungen für Betroffenen, damit diese nicht oder nur in geeigneten Fällen mit gewaltausübenden Verfahrensbeteiligten kooperieren bzw. an Gesprächen teilnehmen müssen.</w:t>
      </w:r>
    </w:p>
    <w:p w14:paraId="218FBB69" w14:textId="14332343" w:rsidR="00885F35" w:rsidRDefault="00885F35" w:rsidP="00885F35">
      <w:pPr>
        <w:pStyle w:val="Listenabsatz"/>
        <w:numPr>
          <w:ilvl w:val="0"/>
          <w:numId w:val="39"/>
        </w:numPr>
        <w:rPr>
          <w:rFonts w:ascii="OpenSans" w:hAnsi="OpenSans" w:cs="Open Sans"/>
        </w:rPr>
      </w:pPr>
      <w:r w:rsidRPr="00885F35">
        <w:rPr>
          <w:rFonts w:ascii="OpenSans" w:hAnsi="OpenSans" w:cs="Open Sans"/>
        </w:rPr>
        <w:t>Verbesserung des Informationsflusses und Vernetzung der beteiligten Stellen.</w:t>
      </w:r>
    </w:p>
    <w:p w14:paraId="08DC841B" w14:textId="00FED27B" w:rsidR="00D723C3" w:rsidRPr="00D723C3" w:rsidRDefault="006C7EB6" w:rsidP="00D723C3">
      <w:pPr>
        <w:rPr>
          <w:rFonts w:ascii="OpenSans" w:hAnsi="OpenSans" w:cs="Open Sans"/>
        </w:rPr>
      </w:pPr>
      <w:r>
        <w:rPr>
          <w:rFonts w:ascii="OpenSans" w:hAnsi="OpenSans" w:cs="Open Sans"/>
        </w:rPr>
        <w:t xml:space="preserve">Link: </w:t>
      </w:r>
      <w:hyperlink r:id="rId15" w:tgtFrame="_blank" w:history="1">
        <w:r>
          <w:rPr>
            <w:rStyle w:val="Hyperlink"/>
          </w:rPr>
          <w:t>https://www.bundesrat.de/bv.html?id=0105-26</w:t>
        </w:r>
      </w:hyperlink>
    </w:p>
    <w:p w14:paraId="03279BA7" w14:textId="02705195" w:rsidR="00D723C3" w:rsidRDefault="00D723C3" w:rsidP="00D723C3">
      <w:pPr>
        <w:pBdr>
          <w:top w:val="single" w:sz="4" w:space="1" w:color="auto"/>
          <w:left w:val="single" w:sz="4" w:space="4" w:color="auto"/>
          <w:bottom w:val="single" w:sz="4" w:space="1" w:color="auto"/>
          <w:right w:val="single" w:sz="4" w:space="4" w:color="auto"/>
        </w:pBdr>
        <w:rPr>
          <w:rFonts w:ascii="OpenSans" w:hAnsi="OpenSans" w:cs="OpenSans"/>
        </w:rPr>
      </w:pPr>
      <w:r w:rsidRPr="00D723C3">
        <w:rPr>
          <w:rFonts w:ascii="OpenSans" w:hAnsi="OpenSans" w:cs="OpenSans"/>
        </w:rPr>
        <w:t xml:space="preserve">Entwurf eines Gesetzes zur </w:t>
      </w:r>
      <w:r w:rsidRPr="00D723C3">
        <w:rPr>
          <w:rFonts w:ascii="OpenSans" w:hAnsi="OpenSans" w:cs="OpenSans"/>
          <w:b/>
          <w:bCs/>
        </w:rPr>
        <w:t>Einführung einer Beweislastumkehr bei der selbständigen erweiterten Einziehung</w:t>
      </w:r>
      <w:r w:rsidRPr="00D723C3">
        <w:rPr>
          <w:rFonts w:ascii="OpenSans" w:hAnsi="OpenSans" w:cs="OpenSans"/>
        </w:rPr>
        <w:t xml:space="preserve"> nach § 76a Absatz 4 des Strafgesetzbuches</w:t>
      </w:r>
      <w:r w:rsidRPr="00D723C3">
        <w:rPr>
          <w:rFonts w:ascii="OpenSans" w:hAnsi="OpenSans" w:cs="OpenSans"/>
        </w:rPr>
        <w:t xml:space="preserve"> </w:t>
      </w:r>
    </w:p>
    <w:p w14:paraId="29F67A4D" w14:textId="6C0DA2CA" w:rsidR="00D723C3" w:rsidRDefault="00D723C3" w:rsidP="00D723C3">
      <w:pPr>
        <w:pBdr>
          <w:top w:val="single" w:sz="4" w:space="1" w:color="auto"/>
          <w:left w:val="single" w:sz="4" w:space="4" w:color="auto"/>
          <w:bottom w:val="single" w:sz="4" w:space="1" w:color="auto"/>
          <w:right w:val="single" w:sz="4" w:space="4" w:color="auto"/>
        </w:pBdr>
        <w:rPr>
          <w:rFonts w:ascii="OpenSans" w:hAnsi="OpenSans" w:cs="OpenSans"/>
        </w:rPr>
      </w:pPr>
      <w:r>
        <w:rPr>
          <w:rFonts w:ascii="OpenSans" w:hAnsi="OpenSans" w:cs="OpenSans"/>
        </w:rPr>
        <w:t>Antrag BE</w:t>
      </w:r>
    </w:p>
    <w:p w14:paraId="3848F42C" w14:textId="7B9902D0" w:rsidR="00D723C3" w:rsidRDefault="00D723C3" w:rsidP="00D723C3">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Pr>
          <w:rFonts w:cstheme="minorHAnsi"/>
          <w:color w:val="000000" w:themeColor="text1"/>
        </w:rPr>
        <w:t>131</w:t>
      </w:r>
      <w:r>
        <w:rPr>
          <w:rFonts w:cstheme="minorHAnsi"/>
          <w:color w:val="000000" w:themeColor="text1"/>
        </w:rPr>
        <w:t>/26</w:t>
      </w:r>
    </w:p>
    <w:p w14:paraId="5D1AFC10" w14:textId="4224A2A2" w:rsidR="00D723C3" w:rsidRDefault="00D723C3" w:rsidP="00D723C3">
      <w:pPr>
        <w:autoSpaceDE w:val="0"/>
        <w:autoSpaceDN w:val="0"/>
        <w:adjustRightInd w:val="0"/>
        <w:spacing w:after="0" w:line="240" w:lineRule="auto"/>
        <w:rPr>
          <w:rFonts w:ascii="OpenSans" w:hAnsi="OpenSans" w:cs="OpenSans"/>
        </w:rPr>
      </w:pPr>
      <w:r>
        <w:rPr>
          <w:rFonts w:ascii="OpenSans" w:hAnsi="OpenSans" w:cs="OpenSans"/>
        </w:rPr>
        <w:t xml:space="preserve">Die Entschließung wurde in die Ausschüsse (R – </w:t>
      </w:r>
      <w:proofErr w:type="spellStart"/>
      <w:r>
        <w:rPr>
          <w:rFonts w:ascii="OpenSans" w:hAnsi="OpenSans" w:cs="OpenSans"/>
        </w:rPr>
        <w:t>F</w:t>
      </w:r>
      <w:r>
        <w:rPr>
          <w:rFonts w:ascii="OpenSans" w:hAnsi="OpenSans" w:cs="OpenSans"/>
        </w:rPr>
        <w:t>z</w:t>
      </w:r>
      <w:proofErr w:type="spellEnd"/>
      <w:r>
        <w:rPr>
          <w:rFonts w:ascii="OpenSans" w:hAnsi="OpenSans" w:cs="OpenSans"/>
        </w:rPr>
        <w:t xml:space="preserve"> – In) überwiesen.</w:t>
      </w:r>
    </w:p>
    <w:p w14:paraId="127FEE2E" w14:textId="50E11F92" w:rsidR="00D723C3" w:rsidRDefault="00D723C3" w:rsidP="00D723C3">
      <w:pPr>
        <w:autoSpaceDE w:val="0"/>
        <w:autoSpaceDN w:val="0"/>
        <w:adjustRightInd w:val="0"/>
        <w:spacing w:after="0" w:line="240" w:lineRule="auto"/>
        <w:rPr>
          <w:rFonts w:ascii="OpenSans" w:hAnsi="OpenSans" w:cs="OpenSans"/>
        </w:rPr>
      </w:pPr>
    </w:p>
    <w:p w14:paraId="1489617F" w14:textId="6280328A" w:rsidR="00D723C3" w:rsidRPr="00D723C3" w:rsidRDefault="00D723C3" w:rsidP="00D723C3">
      <w:pPr>
        <w:rPr>
          <w:rFonts w:ascii="OpenSans" w:hAnsi="OpenSans" w:cs="Open Sans"/>
          <w:b/>
          <w:bCs/>
        </w:rPr>
      </w:pPr>
      <w:r w:rsidRPr="00D723C3">
        <w:rPr>
          <w:rFonts w:ascii="OpenSans" w:hAnsi="OpenSans" w:cs="Open Sans"/>
        </w:rPr>
        <w:t xml:space="preserve">Der GE bezweckt die Verbesserung der </w:t>
      </w:r>
      <w:r w:rsidRPr="00D723C3">
        <w:rPr>
          <w:rFonts w:ascii="OpenSans" w:hAnsi="OpenSans" w:cs="Open Sans"/>
          <w:b/>
          <w:bCs/>
        </w:rPr>
        <w:t>Bekämpfung der Organisierten Kriminalität (OK)</w:t>
      </w:r>
      <w:r w:rsidRPr="00D723C3">
        <w:rPr>
          <w:rFonts w:ascii="OpenSans" w:hAnsi="OpenSans" w:cs="Open Sans"/>
        </w:rPr>
        <w:t xml:space="preserve"> und schlägt zu diesem Zweck die </w:t>
      </w:r>
      <w:r w:rsidRPr="00D723C3">
        <w:rPr>
          <w:rFonts w:ascii="OpenSans" w:hAnsi="OpenSans" w:cs="Open Sans"/>
          <w:b/>
          <w:bCs/>
        </w:rPr>
        <w:t>Einführung einer gesetzlichen</w:t>
      </w:r>
      <w:r w:rsidRPr="00D723C3">
        <w:rPr>
          <w:rFonts w:ascii="OpenSans" w:hAnsi="OpenSans"/>
          <w:b/>
          <w:bCs/>
        </w:rPr>
        <w:t xml:space="preserve"> </w:t>
      </w:r>
      <w:r w:rsidRPr="00D723C3">
        <w:rPr>
          <w:rFonts w:ascii="OpenSans" w:hAnsi="OpenSans" w:cs="Open Sans"/>
          <w:b/>
          <w:bCs/>
        </w:rPr>
        <w:t>Vermutung</w:t>
      </w:r>
      <w:r w:rsidRPr="00D723C3">
        <w:rPr>
          <w:rFonts w:ascii="OpenSans" w:hAnsi="OpenSans" w:cs="Open Sans"/>
        </w:rPr>
        <w:t xml:space="preserve"> für das Herrühren eines Gegenstandes aus einer rechtswidrigen Tat </w:t>
      </w:r>
      <w:r w:rsidRPr="00D723C3">
        <w:rPr>
          <w:rFonts w:ascii="OpenSans" w:hAnsi="OpenSans" w:cs="Open Sans"/>
          <w:b/>
          <w:bCs/>
        </w:rPr>
        <w:t xml:space="preserve">bei der selbständigen erweiterten Einziehung nach § 76a Absatz 4 StGB </w:t>
      </w:r>
      <w:r w:rsidRPr="00D723C3">
        <w:rPr>
          <w:rFonts w:ascii="OpenSans" w:hAnsi="OpenSans" w:cs="Open Sans"/>
        </w:rPr>
        <w:t>vor</w:t>
      </w:r>
      <w:r w:rsidRPr="00D723C3">
        <w:rPr>
          <w:rFonts w:ascii="OpenSans" w:hAnsi="OpenSans" w:cs="Open Sans"/>
          <w:b/>
          <w:bCs/>
        </w:rPr>
        <w:t>.</w:t>
      </w:r>
      <w:r w:rsidRPr="00D723C3">
        <w:rPr>
          <w:rFonts w:ascii="OpenSans" w:hAnsi="OpenSans" w:cs="Open Sans"/>
        </w:rPr>
        <w:t xml:space="preserve"> Grundsätzlich soll bei der Entscheidung über die Einziehung weiterhin die uneingeschränkte richterliche Überzeugungsbildung gelten (für die Frage, ob der Gegenstand aus einer Straftat herrührt, § 437 Abs. 1 StPO-E). Nach dem neuen § 437 Abs. 2 StPO-E soll, wenn der </w:t>
      </w:r>
      <w:r w:rsidRPr="00D723C3">
        <w:rPr>
          <w:rFonts w:ascii="OpenSans" w:hAnsi="OpenSans" w:cs="Open Sans"/>
          <w:b/>
          <w:bCs/>
        </w:rPr>
        <w:t>Wert des Gegenstandes im groben Missverhältnis zu den rechtmäßigen Einkünften des Betroffenen</w:t>
      </w:r>
      <w:r w:rsidRPr="00D723C3">
        <w:rPr>
          <w:rFonts w:ascii="OpenSans" w:hAnsi="OpenSans" w:cs="Open Sans"/>
        </w:rPr>
        <w:t xml:space="preserve"> steht, eine widerlegliche Beweisvermutung gelten. Das Vorliegen eines groben Missverhältnisses als Vermutungsbasis muss zur Überzeugung des Gerichts (§ 261 StPO) feststehen. Steht dies fest, so kann das Vorliegen einer legalen Herkunft des Vermögens ebenfalls nach diesen Maßstäben bewiesen werden. </w:t>
      </w:r>
      <w:r w:rsidRPr="00D723C3">
        <w:rPr>
          <w:rFonts w:ascii="OpenSans" w:hAnsi="OpenSans" w:cs="Open Sans"/>
          <w:b/>
          <w:bCs/>
        </w:rPr>
        <w:t xml:space="preserve">Zweifel gehen dann aber zulasten des Betroffenen. </w:t>
      </w:r>
    </w:p>
    <w:p w14:paraId="3ADD94CE" w14:textId="6B1FB98A" w:rsidR="00885F35" w:rsidRPr="00D723C3" w:rsidRDefault="00D723C3" w:rsidP="00D723C3">
      <w:pPr>
        <w:rPr>
          <w:rFonts w:ascii="OpenSans" w:hAnsi="OpenSans"/>
          <w:b/>
          <w:bCs/>
        </w:rPr>
      </w:pPr>
      <w:r w:rsidRPr="00D723C3">
        <w:rPr>
          <w:rFonts w:ascii="OpenSans" w:hAnsi="OpenSans" w:cs="Open Sans"/>
        </w:rPr>
        <w:t xml:space="preserve">Zur Begründung wird ausgeführt, dass sich die OK seit Jahren bei der Verschleierung, Verwertung und Mehrung der Erlöse aus Straftaten professionalisiert habe. Im Rahmen von Ermittlungen stießen die Strafverfolgungsbehörden immer wieder auf beträchtliche Vermögensgegenstände ungeklärter Herkunft. Entsprechendes gelte für die Bereiche der Wirtschafts- und Steuerstraftaten sowie der Umweltkriminalität. Der Staat stehe vor einer </w:t>
      </w:r>
      <w:r w:rsidRPr="00D723C3">
        <w:rPr>
          <w:rFonts w:ascii="OpenSans" w:hAnsi="OpenSans" w:cs="Open Sans"/>
          <w:b/>
          <w:bCs/>
        </w:rPr>
        <w:t>„strukturellen Beweisnot</w:t>
      </w:r>
      <w:r w:rsidRPr="00D723C3">
        <w:rPr>
          <w:rFonts w:ascii="OpenSans" w:hAnsi="OpenSans" w:cs="Open Sans"/>
        </w:rPr>
        <w:t xml:space="preserve">“ bei der Einziehung dieser Gegenstände, wenn sich diese nicht einer konkreten Straftat zuordnen lassen. </w:t>
      </w:r>
      <w:r w:rsidRPr="00D723C3">
        <w:rPr>
          <w:rFonts w:ascii="OpenSans" w:hAnsi="OpenSans" w:cs="Open Sans"/>
          <w:b/>
          <w:bCs/>
        </w:rPr>
        <w:t>Der GE</w:t>
      </w:r>
      <w:r w:rsidRPr="00D723C3">
        <w:rPr>
          <w:rFonts w:ascii="OpenSans" w:hAnsi="OpenSans" w:cs="Open Sans"/>
        </w:rPr>
        <w:t xml:space="preserve"> </w:t>
      </w:r>
      <w:r w:rsidRPr="00D723C3">
        <w:rPr>
          <w:rFonts w:ascii="OpenSans" w:hAnsi="OpenSans" w:cs="Open Sans"/>
          <w:b/>
          <w:bCs/>
        </w:rPr>
        <w:t>nimmt u.a. auf die BR-Initiative aus NW und SN (BR-</w:t>
      </w:r>
      <w:proofErr w:type="spellStart"/>
      <w:r w:rsidRPr="00D723C3">
        <w:rPr>
          <w:rFonts w:ascii="OpenSans" w:hAnsi="OpenSans" w:cs="Open Sans"/>
          <w:b/>
          <w:bCs/>
        </w:rPr>
        <w:t>Drs</w:t>
      </w:r>
      <w:proofErr w:type="spellEnd"/>
      <w:r w:rsidRPr="00D723C3">
        <w:rPr>
          <w:rFonts w:ascii="OpenSans" w:hAnsi="OpenSans" w:cs="Open Sans"/>
          <w:b/>
          <w:bCs/>
        </w:rPr>
        <w:t xml:space="preserve">. 741/25, Beschluss am 30.1.2026) Bezug, mit der die Bundesregierung um Prüfung einer Beweislastumkehr bei der Einziehung von Vermögen unklarer Herkunft gebeten wurde. </w:t>
      </w:r>
    </w:p>
    <w:p w14:paraId="63F4CFD8" w14:textId="37DD641E" w:rsidR="004860C7" w:rsidRDefault="006C7EB6" w:rsidP="004860C7">
      <w:pPr>
        <w:autoSpaceDE w:val="0"/>
        <w:autoSpaceDN w:val="0"/>
        <w:adjustRightInd w:val="0"/>
        <w:spacing w:after="0" w:line="240" w:lineRule="auto"/>
        <w:rPr>
          <w:rFonts w:ascii="OpenSans" w:hAnsi="OpenSans" w:cs="OpenSans"/>
        </w:rPr>
      </w:pPr>
      <w:r>
        <w:rPr>
          <w:rFonts w:ascii="OpenSans" w:hAnsi="OpenSans" w:cs="OpenSans"/>
        </w:rPr>
        <w:t xml:space="preserve">Link: </w:t>
      </w:r>
      <w:hyperlink r:id="rId16" w:tgtFrame="_blank" w:history="1">
        <w:r>
          <w:rPr>
            <w:rStyle w:val="Hyperlink"/>
          </w:rPr>
          <w:t>https://www.bundesrat.de/bv.html?id=0131-26</w:t>
        </w:r>
      </w:hyperlink>
    </w:p>
    <w:p w14:paraId="44F9989D" w14:textId="3B49F7EA" w:rsidR="004860C7" w:rsidRPr="004860C7" w:rsidRDefault="004860C7" w:rsidP="004860C7">
      <w:pPr>
        <w:pBdr>
          <w:top w:val="single" w:sz="4" w:space="1" w:color="auto"/>
          <w:left w:val="single" w:sz="4" w:space="4" w:color="auto"/>
          <w:bottom w:val="single" w:sz="4" w:space="1" w:color="auto"/>
          <w:right w:val="single" w:sz="4" w:space="4" w:color="auto"/>
        </w:pBdr>
        <w:rPr>
          <w:rFonts w:ascii="OpenSans" w:hAnsi="OpenSans" w:cs="OpenSans"/>
        </w:rPr>
      </w:pPr>
      <w:r w:rsidRPr="004860C7">
        <w:rPr>
          <w:rFonts w:ascii="OpenSans" w:hAnsi="OpenSans" w:cs="OpenSans"/>
        </w:rPr>
        <w:t xml:space="preserve">Entwurf eines Gesetzes zur </w:t>
      </w:r>
      <w:r w:rsidRPr="004860C7">
        <w:rPr>
          <w:rFonts w:ascii="OpenSans" w:hAnsi="OpenSans" w:cs="OpenSans"/>
          <w:b/>
          <w:bCs/>
        </w:rPr>
        <w:t>Ausweitung der notariellen</w:t>
      </w:r>
      <w:r w:rsidRPr="004860C7">
        <w:rPr>
          <w:rFonts w:ascii="OpenSans" w:hAnsi="OpenSans" w:cs="OpenSans"/>
          <w:b/>
          <w:bCs/>
        </w:rPr>
        <w:t xml:space="preserve"> </w:t>
      </w:r>
      <w:r w:rsidRPr="004860C7">
        <w:rPr>
          <w:rFonts w:ascii="OpenSans" w:hAnsi="OpenSans" w:cs="OpenSans"/>
          <w:b/>
          <w:bCs/>
        </w:rPr>
        <w:t>Online-Verfahren im Gesellschafts- und Registerrecht,</w:t>
      </w:r>
      <w:r>
        <w:rPr>
          <w:rFonts w:ascii="OpenSans" w:hAnsi="OpenSans" w:cs="OpenSans"/>
        </w:rPr>
        <w:t xml:space="preserve"> </w:t>
      </w:r>
      <w:r w:rsidRPr="004860C7">
        <w:rPr>
          <w:rFonts w:ascii="OpenSans" w:hAnsi="OpenSans" w:cs="OpenSans"/>
        </w:rPr>
        <w:t>zur Digitalisierung des Führungszeugnisses und zur</w:t>
      </w:r>
      <w:r>
        <w:rPr>
          <w:rFonts w:ascii="OpenSans" w:hAnsi="OpenSans" w:cs="OpenSans"/>
        </w:rPr>
        <w:t xml:space="preserve"> </w:t>
      </w:r>
      <w:r w:rsidRPr="004860C7">
        <w:rPr>
          <w:rFonts w:ascii="OpenSans" w:hAnsi="OpenSans" w:cs="OpenSans"/>
        </w:rPr>
        <w:t>Verlängerung der Antragsfrist für Anträge von</w:t>
      </w:r>
      <w:r>
        <w:rPr>
          <w:rFonts w:ascii="OpenSans" w:hAnsi="OpenSans" w:cs="OpenSans"/>
        </w:rPr>
        <w:t xml:space="preserve"> </w:t>
      </w:r>
      <w:r w:rsidRPr="004860C7">
        <w:rPr>
          <w:rFonts w:ascii="OpenSans" w:hAnsi="OpenSans" w:cs="OpenSans"/>
        </w:rPr>
        <w:t>Soldatinnen und Soldaten auf Entschädigung wegen</w:t>
      </w:r>
      <w:r>
        <w:rPr>
          <w:rFonts w:ascii="OpenSans" w:hAnsi="OpenSans" w:cs="OpenSans"/>
        </w:rPr>
        <w:t xml:space="preserve"> </w:t>
      </w:r>
      <w:r w:rsidRPr="004860C7">
        <w:rPr>
          <w:rFonts w:ascii="OpenSans" w:hAnsi="OpenSans" w:cs="OpenSans"/>
        </w:rPr>
        <w:t xml:space="preserve">dienstrechtlicher </w:t>
      </w:r>
      <w:r>
        <w:rPr>
          <w:rFonts w:ascii="OpenSans" w:hAnsi="OpenSans" w:cs="OpenSans"/>
        </w:rPr>
        <w:t>B</w:t>
      </w:r>
      <w:r w:rsidRPr="004860C7">
        <w:rPr>
          <w:rFonts w:ascii="OpenSans" w:hAnsi="OpenSans" w:cs="OpenSans"/>
        </w:rPr>
        <w:t>enachteiligung</w:t>
      </w:r>
    </w:p>
    <w:p w14:paraId="36609727" w14:textId="020200C5" w:rsidR="004860C7" w:rsidRDefault="004860C7" w:rsidP="004860C7">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lastRenderedPageBreak/>
        <w:t>BR-</w:t>
      </w:r>
      <w:proofErr w:type="spellStart"/>
      <w:r>
        <w:rPr>
          <w:rFonts w:cstheme="minorHAnsi"/>
          <w:color w:val="000000" w:themeColor="text1"/>
        </w:rPr>
        <w:t>Drs</w:t>
      </w:r>
      <w:proofErr w:type="spellEnd"/>
      <w:r>
        <w:rPr>
          <w:rFonts w:cstheme="minorHAnsi"/>
          <w:color w:val="000000" w:themeColor="text1"/>
        </w:rPr>
        <w:t xml:space="preserve">. </w:t>
      </w:r>
      <w:r>
        <w:rPr>
          <w:rFonts w:cstheme="minorHAnsi"/>
          <w:color w:val="000000" w:themeColor="text1"/>
        </w:rPr>
        <w:t>42</w:t>
      </w:r>
      <w:r>
        <w:rPr>
          <w:rFonts w:cstheme="minorHAnsi"/>
          <w:color w:val="000000" w:themeColor="text1"/>
        </w:rPr>
        <w:t>/26</w:t>
      </w:r>
    </w:p>
    <w:p w14:paraId="008AE9A7" w14:textId="660BD22D" w:rsidR="004860C7" w:rsidRDefault="004860C7" w:rsidP="004860C7">
      <w:pPr>
        <w:autoSpaceDE w:val="0"/>
        <w:autoSpaceDN w:val="0"/>
        <w:adjustRightInd w:val="0"/>
        <w:spacing w:after="0" w:line="240" w:lineRule="auto"/>
        <w:rPr>
          <w:rFonts w:ascii="OpenSans" w:hAnsi="OpenSans" w:cs="OpenSans"/>
        </w:rPr>
      </w:pPr>
      <w:r w:rsidRPr="004860C7">
        <w:rPr>
          <w:rFonts w:ascii="OpenSans" w:hAnsi="OpenSans" w:cs="OpenSans"/>
        </w:rPr>
        <w:t>Der Bundesrat nahm zu dem Gesetzentwurf Stellung</w:t>
      </w:r>
      <w:r w:rsidR="009C7F04">
        <w:rPr>
          <w:rFonts w:ascii="OpenSans" w:hAnsi="OpenSans" w:cs="OpenSans"/>
        </w:rPr>
        <w:t xml:space="preserve"> </w:t>
      </w:r>
      <w:r w:rsidRPr="004860C7">
        <w:rPr>
          <w:rFonts w:ascii="OpenSans" w:hAnsi="OpenSans" w:cs="OpenSans"/>
        </w:rPr>
        <w:t xml:space="preserve">gemäß </w:t>
      </w:r>
      <w:proofErr w:type="spellStart"/>
      <w:r w:rsidRPr="004860C7">
        <w:rPr>
          <w:rFonts w:ascii="OpenSans" w:hAnsi="OpenSans" w:cs="OpenSans"/>
        </w:rPr>
        <w:t>Drs</w:t>
      </w:r>
      <w:proofErr w:type="spellEnd"/>
      <w:r w:rsidRPr="004860C7">
        <w:rPr>
          <w:rFonts w:ascii="OpenSans" w:hAnsi="OpenSans" w:cs="OpenSans"/>
        </w:rPr>
        <w:t>. 42/1/26.</w:t>
      </w:r>
    </w:p>
    <w:p w14:paraId="42619290" w14:textId="77777777" w:rsidR="004860C7" w:rsidRPr="004860C7" w:rsidRDefault="004860C7" w:rsidP="004860C7">
      <w:pPr>
        <w:autoSpaceDE w:val="0"/>
        <w:autoSpaceDN w:val="0"/>
        <w:adjustRightInd w:val="0"/>
        <w:spacing w:after="0" w:line="240" w:lineRule="auto"/>
        <w:rPr>
          <w:rFonts w:ascii="OpenSans" w:hAnsi="OpenSans" w:cs="OpenSans"/>
        </w:rPr>
      </w:pPr>
    </w:p>
    <w:p w14:paraId="5EDBB94C" w14:textId="300CAC1D" w:rsidR="004860C7" w:rsidRDefault="004860C7" w:rsidP="004860C7">
      <w:pPr>
        <w:autoSpaceDE w:val="0"/>
        <w:autoSpaceDN w:val="0"/>
        <w:adjustRightInd w:val="0"/>
        <w:spacing w:after="0" w:line="240" w:lineRule="auto"/>
        <w:rPr>
          <w:rFonts w:ascii="OpenSans" w:hAnsi="OpenSans" w:cs="OpenSans"/>
        </w:rPr>
      </w:pPr>
      <w:r w:rsidRPr="004860C7">
        <w:rPr>
          <w:rFonts w:ascii="OpenSans" w:hAnsi="OpenSans" w:cs="OpenSans"/>
        </w:rPr>
        <w:t>NRW:</w:t>
      </w:r>
      <w:r w:rsidR="009C7F04">
        <w:rPr>
          <w:rFonts w:ascii="OpenSans" w:hAnsi="OpenSans" w:cs="OpenSans"/>
        </w:rPr>
        <w:t xml:space="preserve"> </w:t>
      </w:r>
      <w:r w:rsidRPr="004860C7">
        <w:rPr>
          <w:rFonts w:ascii="OpenSans" w:hAnsi="OpenSans" w:cs="OpenSans"/>
        </w:rPr>
        <w:t>Zustimmung zu der Ausschussempfehlung gemäß Ziffer 1</w:t>
      </w:r>
      <w:r w:rsidR="009C7F04">
        <w:rPr>
          <w:rFonts w:ascii="OpenSans" w:hAnsi="OpenSans" w:cs="OpenSans"/>
        </w:rPr>
        <w:t xml:space="preserve"> </w:t>
      </w:r>
      <w:r w:rsidRPr="004860C7">
        <w:rPr>
          <w:rFonts w:ascii="OpenSans" w:hAnsi="OpenSans" w:cs="OpenSans"/>
        </w:rPr>
        <w:t xml:space="preserve">in </w:t>
      </w:r>
      <w:proofErr w:type="spellStart"/>
      <w:r w:rsidRPr="004860C7">
        <w:rPr>
          <w:rFonts w:ascii="OpenSans" w:hAnsi="OpenSans" w:cs="OpenSans"/>
        </w:rPr>
        <w:t>Drs</w:t>
      </w:r>
      <w:proofErr w:type="spellEnd"/>
      <w:r w:rsidRPr="004860C7">
        <w:rPr>
          <w:rFonts w:ascii="OpenSans" w:hAnsi="OpenSans" w:cs="OpenSans"/>
        </w:rPr>
        <w:t>. 42/1/26.</w:t>
      </w:r>
    </w:p>
    <w:p w14:paraId="5983D6FA" w14:textId="31DB14CE" w:rsidR="009C7F04" w:rsidRDefault="009C7F04" w:rsidP="004860C7">
      <w:pPr>
        <w:autoSpaceDE w:val="0"/>
        <w:autoSpaceDN w:val="0"/>
        <w:adjustRightInd w:val="0"/>
        <w:spacing w:after="0" w:line="240" w:lineRule="auto"/>
        <w:rPr>
          <w:rFonts w:ascii="OpenSans" w:hAnsi="OpenSans" w:cs="OpenSans"/>
        </w:rPr>
      </w:pPr>
    </w:p>
    <w:p w14:paraId="444ABF9A" w14:textId="77777777" w:rsidR="009C7F04" w:rsidRPr="009C7F04" w:rsidRDefault="009C7F04" w:rsidP="009C7F04">
      <w:pPr>
        <w:rPr>
          <w:rFonts w:ascii="OpenSans" w:hAnsi="OpenSans" w:cs="Open Sans"/>
        </w:rPr>
      </w:pPr>
      <w:r w:rsidRPr="009C7F04">
        <w:rPr>
          <w:rFonts w:ascii="OpenSans" w:hAnsi="OpenSans" w:cs="Open Sans"/>
        </w:rPr>
        <w:t xml:space="preserve">Mit dem GE sollen </w:t>
      </w:r>
      <w:r w:rsidRPr="009C7F04">
        <w:rPr>
          <w:rFonts w:ascii="OpenSans" w:hAnsi="OpenSans" w:cs="Open Sans"/>
          <w:b/>
          <w:bCs/>
        </w:rPr>
        <w:t>notarielle Online-Verfahren auf weitere beurkundungspflichtige Gegenstände des Gesellschaftsrechts ausgeweitet werden</w:t>
      </w:r>
      <w:r w:rsidRPr="009C7F04">
        <w:rPr>
          <w:rFonts w:ascii="OpenSans" w:hAnsi="OpenSans" w:cs="Open Sans"/>
        </w:rPr>
        <w:t xml:space="preserve">. Dem war eine Evaluation der bereits existierenden notariellen Online-Verfahren vorausgegangen. Künftig sollen u.a. die Anmeldungen von Eintragungen in das Stiftungsregister, Gründungen von Aktiengesellschaften und KGaA und Vollmachten zur Anmeldung beim Handels-, Gesellschafts- und Partnerschaftsregister ohne Präsenztermin bei einem Notar möglich sein. </w:t>
      </w:r>
    </w:p>
    <w:p w14:paraId="02A53D88" w14:textId="77777777" w:rsidR="009C7F04" w:rsidRPr="009C7F04" w:rsidRDefault="009C7F04" w:rsidP="009C7F04">
      <w:pPr>
        <w:rPr>
          <w:rFonts w:ascii="OpenSans" w:hAnsi="OpenSans" w:cs="Open Sans"/>
        </w:rPr>
      </w:pPr>
      <w:r w:rsidRPr="009C7F04">
        <w:rPr>
          <w:rFonts w:ascii="OpenSans" w:hAnsi="OpenSans" w:cs="Open Sans"/>
        </w:rPr>
        <w:t xml:space="preserve">Das Führungszeugnis ist bisher ausschließlich als ausgedruckte Urkunde verfügbar und wird üblicherweise auf dem Postweg übermittelt. Nun soll das </w:t>
      </w:r>
      <w:r w:rsidRPr="009C7F04">
        <w:rPr>
          <w:rFonts w:ascii="OpenSans" w:hAnsi="OpenSans" w:cs="Open Sans"/>
          <w:b/>
          <w:bCs/>
        </w:rPr>
        <w:t>Digitale Führungszeugnis eingeführt werden</w:t>
      </w:r>
      <w:r w:rsidRPr="009C7F04">
        <w:rPr>
          <w:rFonts w:ascii="OpenSans" w:hAnsi="OpenSans" w:cs="Open Sans"/>
        </w:rPr>
        <w:t xml:space="preserve">, welches als </w:t>
      </w:r>
      <w:proofErr w:type="spellStart"/>
      <w:r w:rsidRPr="009C7F04">
        <w:rPr>
          <w:rFonts w:ascii="OpenSans" w:hAnsi="OpenSans" w:cs="Open Sans"/>
        </w:rPr>
        <w:t>Pdf</w:t>
      </w:r>
      <w:proofErr w:type="spellEnd"/>
      <w:r w:rsidRPr="009C7F04">
        <w:rPr>
          <w:rFonts w:ascii="OpenSans" w:hAnsi="OpenSans" w:cs="Open Sans"/>
        </w:rPr>
        <w:t xml:space="preserve">-Dokument erstellt und elektronisch übermittelt wird. </w:t>
      </w:r>
    </w:p>
    <w:p w14:paraId="7F451B08" w14:textId="665655BE" w:rsidR="004860C7" w:rsidRDefault="009C7F04" w:rsidP="000F6409">
      <w:pPr>
        <w:rPr>
          <w:rFonts w:ascii="OpenSans" w:hAnsi="OpenSans" w:cs="Open Sans"/>
        </w:rPr>
      </w:pPr>
      <w:r w:rsidRPr="009C7F04">
        <w:rPr>
          <w:rFonts w:ascii="OpenSans" w:hAnsi="OpenSans" w:cs="Open Sans"/>
        </w:rPr>
        <w:t>Da immer noch vereinzelt Anträge auf Rehabilitierung und Entschädigung eingehen, soll die Antragsfrist des Gesetzes zur Rehabilitierung der wegen einvernehmlicher homosexueller Handlungen, wegen ihrer homosexuellen Orientierung oder wegen ihrer geschlechtlichen Identität dienstrechtlich benachteiligten Soldatinnen und Soldaten (</w:t>
      </w:r>
      <w:proofErr w:type="spellStart"/>
      <w:r w:rsidRPr="009C7F04">
        <w:rPr>
          <w:rFonts w:ascii="OpenSans" w:hAnsi="OpenSans" w:cs="Open Sans"/>
        </w:rPr>
        <w:t>SoldRehaHomG</w:t>
      </w:r>
      <w:proofErr w:type="spellEnd"/>
      <w:r w:rsidRPr="009C7F04">
        <w:rPr>
          <w:rFonts w:ascii="OpenSans" w:hAnsi="OpenSans" w:cs="Open Sans"/>
        </w:rPr>
        <w:t>) um weitere fünf Jahre verlängert werden.</w:t>
      </w:r>
    </w:p>
    <w:p w14:paraId="1924440D" w14:textId="29459A11" w:rsidR="006C7EB6" w:rsidRPr="000F6409" w:rsidRDefault="006C7EB6" w:rsidP="000F6409">
      <w:pPr>
        <w:rPr>
          <w:rFonts w:ascii="OpenSans" w:hAnsi="OpenSans" w:cs="Open Sans"/>
        </w:rPr>
      </w:pPr>
      <w:r>
        <w:rPr>
          <w:rFonts w:ascii="OpenSans" w:hAnsi="OpenSans" w:cs="Open Sans"/>
        </w:rPr>
        <w:t>Link:</w:t>
      </w:r>
      <w:r w:rsidRPr="006C7EB6">
        <w:t xml:space="preserve"> </w:t>
      </w:r>
      <w:hyperlink r:id="rId17" w:tgtFrame="_blank" w:history="1">
        <w:r>
          <w:rPr>
            <w:rStyle w:val="Hyperlink"/>
          </w:rPr>
          <w:t>https://www.bundesrat.de/bv.html?id=0042-26</w:t>
        </w:r>
      </w:hyperlink>
    </w:p>
    <w:p w14:paraId="1EE081D2" w14:textId="77777777" w:rsidR="004860C7" w:rsidRDefault="004860C7" w:rsidP="004860C7">
      <w:pPr>
        <w:autoSpaceDE w:val="0"/>
        <w:autoSpaceDN w:val="0"/>
        <w:adjustRightInd w:val="0"/>
        <w:spacing w:after="0" w:line="240" w:lineRule="auto"/>
        <w:rPr>
          <w:rFonts w:ascii="OpenSans" w:hAnsi="OpenSans" w:cs="OpenSans"/>
        </w:rPr>
      </w:pPr>
    </w:p>
    <w:p w14:paraId="563FE416" w14:textId="78DED1E3" w:rsidR="004860C7" w:rsidRPr="004860C7" w:rsidRDefault="004860C7" w:rsidP="004860C7">
      <w:pPr>
        <w:pBdr>
          <w:top w:val="single" w:sz="4" w:space="1" w:color="auto"/>
          <w:left w:val="single" w:sz="4" w:space="4" w:color="auto"/>
          <w:bottom w:val="single" w:sz="4" w:space="1" w:color="auto"/>
          <w:right w:val="single" w:sz="4" w:space="4" w:color="auto"/>
        </w:pBdr>
        <w:rPr>
          <w:rFonts w:ascii="OpenSans" w:hAnsi="OpenSans" w:cs="OpenSans"/>
        </w:rPr>
      </w:pPr>
      <w:r w:rsidRPr="004860C7">
        <w:rPr>
          <w:rFonts w:ascii="OpenSans" w:hAnsi="OpenSans" w:cs="OpenSans"/>
        </w:rPr>
        <w:t xml:space="preserve">Entwurf eines </w:t>
      </w:r>
      <w:r w:rsidRPr="004860C7">
        <w:rPr>
          <w:rFonts w:ascii="OpenSans" w:hAnsi="OpenSans" w:cs="OpenSans"/>
          <w:b/>
          <w:bCs/>
        </w:rPr>
        <w:t>Gesetzes zur Änderung des Umwelt</w:t>
      </w:r>
      <w:r w:rsidRPr="004860C7">
        <w:rPr>
          <w:rFonts w:ascii="OpenSans" w:hAnsi="OpenSans" w:cs="OpenSans"/>
          <w:b/>
          <w:bCs/>
        </w:rPr>
        <w:t>-</w:t>
      </w:r>
      <w:r w:rsidRPr="004860C7">
        <w:rPr>
          <w:rFonts w:ascii="OpenSans" w:hAnsi="OpenSans" w:cs="OpenSans"/>
          <w:b/>
          <w:bCs/>
        </w:rPr>
        <w:t>Rechtsbehelfsgesetzes</w:t>
      </w:r>
      <w:r w:rsidRPr="004860C7">
        <w:rPr>
          <w:rFonts w:ascii="OpenSans" w:hAnsi="OpenSans" w:cs="OpenSans"/>
        </w:rPr>
        <w:t xml:space="preserve"> und weiterer umweltrechtlicher</w:t>
      </w:r>
      <w:r>
        <w:rPr>
          <w:rFonts w:ascii="OpenSans" w:hAnsi="OpenSans" w:cs="OpenSans"/>
        </w:rPr>
        <w:t xml:space="preserve"> </w:t>
      </w:r>
      <w:r w:rsidRPr="004860C7">
        <w:rPr>
          <w:rFonts w:ascii="OpenSans" w:hAnsi="OpenSans" w:cs="OpenSans"/>
        </w:rPr>
        <w:t>Vorschriften</w:t>
      </w:r>
    </w:p>
    <w:p w14:paraId="6C1DF987" w14:textId="4EDB8F76" w:rsidR="004860C7" w:rsidRDefault="004860C7" w:rsidP="004860C7">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Pr>
          <w:rFonts w:cstheme="minorHAnsi"/>
          <w:color w:val="000000" w:themeColor="text1"/>
        </w:rPr>
        <w:t>43</w:t>
      </w:r>
      <w:r>
        <w:rPr>
          <w:rFonts w:cstheme="minorHAnsi"/>
          <w:color w:val="000000" w:themeColor="text1"/>
        </w:rPr>
        <w:t>/26</w:t>
      </w:r>
    </w:p>
    <w:p w14:paraId="5191C3C2" w14:textId="61D76302" w:rsidR="004860C7" w:rsidRDefault="004860C7" w:rsidP="004860C7">
      <w:pPr>
        <w:autoSpaceDE w:val="0"/>
        <w:autoSpaceDN w:val="0"/>
        <w:adjustRightInd w:val="0"/>
        <w:spacing w:after="0" w:line="240" w:lineRule="auto"/>
        <w:rPr>
          <w:rFonts w:ascii="OpenSans" w:hAnsi="OpenSans" w:cs="OpenSans"/>
        </w:rPr>
      </w:pPr>
      <w:r w:rsidRPr="004860C7">
        <w:rPr>
          <w:rFonts w:ascii="OpenSans" w:hAnsi="OpenSans" w:cs="OpenSans"/>
        </w:rPr>
        <w:t>Der Bundesrat nahm zu dem Gesetzentwurf Stellung</w:t>
      </w:r>
      <w:r>
        <w:rPr>
          <w:rFonts w:ascii="OpenSans" w:hAnsi="OpenSans" w:cs="OpenSans"/>
        </w:rPr>
        <w:t xml:space="preserve"> </w:t>
      </w:r>
      <w:r w:rsidRPr="004860C7">
        <w:rPr>
          <w:rFonts w:ascii="OpenSans" w:hAnsi="OpenSans" w:cs="OpenSans"/>
        </w:rPr>
        <w:t xml:space="preserve">gemäß </w:t>
      </w:r>
      <w:proofErr w:type="spellStart"/>
      <w:r w:rsidRPr="004860C7">
        <w:rPr>
          <w:rFonts w:ascii="OpenSans" w:hAnsi="OpenSans" w:cs="OpenSans"/>
        </w:rPr>
        <w:t>Drs</w:t>
      </w:r>
      <w:proofErr w:type="spellEnd"/>
      <w:r w:rsidRPr="004860C7">
        <w:rPr>
          <w:rFonts w:ascii="OpenSans" w:hAnsi="OpenSans" w:cs="OpenSans"/>
        </w:rPr>
        <w:t>. 43/1/26 (ohne Ziffern 1, 2, 4-8, 10-20,</w:t>
      </w:r>
      <w:r>
        <w:rPr>
          <w:rFonts w:ascii="OpenSans" w:hAnsi="OpenSans" w:cs="OpenSans"/>
        </w:rPr>
        <w:t xml:space="preserve"> </w:t>
      </w:r>
      <w:r w:rsidRPr="004860C7">
        <w:rPr>
          <w:rFonts w:ascii="OpenSans" w:hAnsi="OpenSans" w:cs="OpenSans"/>
        </w:rPr>
        <w:t>24-29, 31, 33, 34, 36 und 37).</w:t>
      </w:r>
    </w:p>
    <w:p w14:paraId="78B82EF2" w14:textId="77777777" w:rsidR="004860C7" w:rsidRPr="004860C7" w:rsidRDefault="004860C7" w:rsidP="004860C7">
      <w:pPr>
        <w:autoSpaceDE w:val="0"/>
        <w:autoSpaceDN w:val="0"/>
        <w:adjustRightInd w:val="0"/>
        <w:spacing w:after="0" w:line="240" w:lineRule="auto"/>
        <w:rPr>
          <w:rFonts w:ascii="OpenSans" w:hAnsi="OpenSans" w:cs="OpenSans"/>
        </w:rPr>
      </w:pPr>
    </w:p>
    <w:p w14:paraId="600FD2F9" w14:textId="77777777" w:rsidR="004860C7" w:rsidRPr="004860C7" w:rsidRDefault="004860C7" w:rsidP="004860C7">
      <w:pPr>
        <w:autoSpaceDE w:val="0"/>
        <w:autoSpaceDN w:val="0"/>
        <w:adjustRightInd w:val="0"/>
        <w:spacing w:after="0" w:line="240" w:lineRule="auto"/>
        <w:rPr>
          <w:rFonts w:ascii="OpenSans" w:hAnsi="OpenSans" w:cs="OpenSans"/>
        </w:rPr>
      </w:pPr>
      <w:r w:rsidRPr="004860C7">
        <w:rPr>
          <w:rFonts w:ascii="OpenSans" w:hAnsi="OpenSans" w:cs="OpenSans"/>
        </w:rPr>
        <w:t>NRW:</w:t>
      </w:r>
    </w:p>
    <w:p w14:paraId="5F567143" w14:textId="18C65290" w:rsidR="004860C7" w:rsidRDefault="004860C7" w:rsidP="004860C7">
      <w:pPr>
        <w:autoSpaceDE w:val="0"/>
        <w:autoSpaceDN w:val="0"/>
        <w:adjustRightInd w:val="0"/>
        <w:spacing w:after="0" w:line="240" w:lineRule="auto"/>
        <w:rPr>
          <w:rFonts w:ascii="OpenSans" w:hAnsi="OpenSans" w:cs="OpenSans"/>
        </w:rPr>
      </w:pPr>
      <w:r w:rsidRPr="004860C7">
        <w:rPr>
          <w:rFonts w:ascii="OpenSans" w:hAnsi="OpenSans" w:cs="OpenSans"/>
        </w:rPr>
        <w:t>Zustimmung zu den Ausschussempfehlungen gemäß</w:t>
      </w:r>
      <w:r>
        <w:rPr>
          <w:rFonts w:ascii="OpenSans" w:hAnsi="OpenSans" w:cs="OpenSans"/>
        </w:rPr>
        <w:t xml:space="preserve"> </w:t>
      </w:r>
      <w:r w:rsidRPr="004860C7">
        <w:rPr>
          <w:rFonts w:ascii="OpenSans" w:hAnsi="OpenSans" w:cs="OpenSans"/>
        </w:rPr>
        <w:t xml:space="preserve">Ziffern 3, 9 und 35 in </w:t>
      </w:r>
      <w:proofErr w:type="spellStart"/>
      <w:r w:rsidRPr="004860C7">
        <w:rPr>
          <w:rFonts w:ascii="OpenSans" w:hAnsi="OpenSans" w:cs="OpenSans"/>
        </w:rPr>
        <w:t>Drs</w:t>
      </w:r>
      <w:proofErr w:type="spellEnd"/>
      <w:r w:rsidRPr="004860C7">
        <w:rPr>
          <w:rFonts w:ascii="OpenSans" w:hAnsi="OpenSans" w:cs="OpenSans"/>
        </w:rPr>
        <w:t>. 43/1/26.</w:t>
      </w:r>
    </w:p>
    <w:p w14:paraId="49E45B91" w14:textId="77777777" w:rsidR="004860C7" w:rsidRDefault="004860C7" w:rsidP="00437669">
      <w:pPr>
        <w:autoSpaceDE w:val="0"/>
        <w:autoSpaceDN w:val="0"/>
        <w:adjustRightInd w:val="0"/>
        <w:spacing w:after="0" w:line="240" w:lineRule="auto"/>
        <w:rPr>
          <w:rFonts w:ascii="OpenSans" w:hAnsi="OpenSans" w:cs="OpenSans"/>
        </w:rPr>
      </w:pPr>
    </w:p>
    <w:p w14:paraId="44D42C3B" w14:textId="2CF75CDC" w:rsidR="004860C7" w:rsidRDefault="00D723C3" w:rsidP="00D723C3">
      <w:pPr>
        <w:autoSpaceDE w:val="0"/>
        <w:autoSpaceDN w:val="0"/>
        <w:adjustRightInd w:val="0"/>
        <w:spacing w:after="0" w:line="240" w:lineRule="auto"/>
        <w:rPr>
          <w:rFonts w:ascii="OpenSans" w:hAnsi="OpenSans" w:cs="OpenSans"/>
        </w:rPr>
      </w:pPr>
      <w:r w:rsidRPr="00D723C3">
        <w:rPr>
          <w:rFonts w:ascii="OpenSans" w:hAnsi="OpenSans" w:cs="OpenSans"/>
        </w:rPr>
        <w:t>Mit dem GE soll das Umwelt-Rechtsbehelfsgesetz (</w:t>
      </w:r>
      <w:proofErr w:type="spellStart"/>
      <w:r w:rsidRPr="00D723C3">
        <w:rPr>
          <w:rFonts w:ascii="OpenSans" w:hAnsi="OpenSans" w:cs="OpenSans"/>
        </w:rPr>
        <w:t>UmwRG</w:t>
      </w:r>
      <w:proofErr w:type="spellEnd"/>
      <w:r w:rsidRPr="00D723C3">
        <w:rPr>
          <w:rFonts w:ascii="OpenSans" w:hAnsi="OpenSans" w:cs="OpenSans"/>
        </w:rPr>
        <w:t xml:space="preserve">) </w:t>
      </w:r>
      <w:r w:rsidRPr="00D723C3">
        <w:rPr>
          <w:rFonts w:ascii="OpenSans" w:hAnsi="OpenSans" w:cs="OpenSans"/>
          <w:b/>
          <w:bCs/>
        </w:rPr>
        <w:t>an</w:t>
      </w:r>
      <w:r w:rsidRPr="00D723C3">
        <w:rPr>
          <w:rFonts w:ascii="OpenSans" w:hAnsi="OpenSans" w:cs="OpenSans"/>
          <w:b/>
          <w:bCs/>
        </w:rPr>
        <w:t xml:space="preserve"> </w:t>
      </w:r>
      <w:r w:rsidRPr="00D723C3">
        <w:rPr>
          <w:rFonts w:ascii="OpenSans" w:hAnsi="OpenSans" w:cs="OpenSans"/>
          <w:b/>
          <w:bCs/>
        </w:rPr>
        <w:t xml:space="preserve">geänderte unions- und völkerrechtliche Vorgaben sowie zwei </w:t>
      </w:r>
      <w:r w:rsidRPr="00D723C3">
        <w:rPr>
          <w:rFonts w:ascii="OpenSans" w:hAnsi="OpenSans" w:cs="OpenSans"/>
          <w:b/>
          <w:bCs/>
        </w:rPr>
        <w:t>E</w:t>
      </w:r>
      <w:r w:rsidRPr="00D723C3">
        <w:rPr>
          <w:rFonts w:ascii="OpenSans" w:hAnsi="OpenSans" w:cs="OpenSans"/>
          <w:b/>
          <w:bCs/>
        </w:rPr>
        <w:t>ntschließungen</w:t>
      </w:r>
      <w:r w:rsidRPr="00D723C3">
        <w:rPr>
          <w:rFonts w:ascii="OpenSans" w:hAnsi="OpenSans" w:cs="OpenSans"/>
          <w:b/>
          <w:bCs/>
        </w:rPr>
        <w:t xml:space="preserve"> des Bundesages </w:t>
      </w:r>
      <w:r w:rsidRPr="00D723C3">
        <w:rPr>
          <w:rFonts w:ascii="OpenSans" w:hAnsi="OpenSans" w:cs="OpenSans"/>
          <w:b/>
          <w:bCs/>
        </w:rPr>
        <w:t>angepasst werden. Weitere Änderungen sollen</w:t>
      </w:r>
      <w:r w:rsidRPr="00D723C3">
        <w:rPr>
          <w:rFonts w:ascii="OpenSans" w:hAnsi="OpenSans" w:cs="OpenSans"/>
          <w:b/>
          <w:bCs/>
        </w:rPr>
        <w:t xml:space="preserve"> </w:t>
      </w:r>
      <w:proofErr w:type="spellStart"/>
      <w:r w:rsidRPr="00D723C3">
        <w:rPr>
          <w:rFonts w:ascii="OpenSans" w:hAnsi="OpenSans" w:cs="OpenSans"/>
          <w:b/>
          <w:bCs/>
        </w:rPr>
        <w:t>Verwaltungs</w:t>
      </w:r>
      <w:proofErr w:type="spellEnd"/>
      <w:r w:rsidRPr="00D723C3">
        <w:rPr>
          <w:rFonts w:ascii="OpenSans" w:hAnsi="OpenSans" w:cs="OpenSans"/>
          <w:b/>
          <w:bCs/>
        </w:rPr>
        <w:t>(</w:t>
      </w:r>
      <w:proofErr w:type="spellStart"/>
      <w:r w:rsidRPr="00D723C3">
        <w:rPr>
          <w:rFonts w:ascii="OpenSans" w:hAnsi="OpenSans" w:cs="OpenSans"/>
          <w:b/>
          <w:bCs/>
        </w:rPr>
        <w:t>gerichts</w:t>
      </w:r>
      <w:proofErr w:type="spellEnd"/>
      <w:r w:rsidRPr="00D723C3">
        <w:rPr>
          <w:rFonts w:ascii="OpenSans" w:hAnsi="OpenSans" w:cs="OpenSans"/>
          <w:b/>
          <w:bCs/>
        </w:rPr>
        <w:t>)verfahren beschleunigen</w:t>
      </w:r>
      <w:r w:rsidRPr="00D723C3">
        <w:rPr>
          <w:rFonts w:ascii="OpenSans" w:hAnsi="OpenSans" w:cs="OpenSans"/>
        </w:rPr>
        <w:t>.</w:t>
      </w:r>
      <w:r>
        <w:rPr>
          <w:rFonts w:ascii="OpenSans" w:hAnsi="OpenSans" w:cs="OpenSans"/>
        </w:rPr>
        <w:t xml:space="preserve"> </w:t>
      </w:r>
      <w:r w:rsidRPr="00D723C3">
        <w:rPr>
          <w:rFonts w:ascii="OpenSans" w:hAnsi="OpenSans" w:cs="OpenSans"/>
        </w:rPr>
        <w:t>Konkret dienen die Änderungen der Umsetzung des Beschlusses</w:t>
      </w:r>
      <w:r>
        <w:rPr>
          <w:rFonts w:ascii="OpenSans" w:hAnsi="OpenSans" w:cs="OpenSans"/>
        </w:rPr>
        <w:t xml:space="preserve"> </w:t>
      </w:r>
      <w:r w:rsidRPr="00D723C3">
        <w:rPr>
          <w:rFonts w:ascii="OpenSans" w:hAnsi="OpenSans" w:cs="OpenSans"/>
        </w:rPr>
        <w:t>VII/8g der 7. Konferenz der Vertragsstaaten der Aarhus-Konvention</w:t>
      </w:r>
      <w:r>
        <w:rPr>
          <w:rFonts w:ascii="OpenSans" w:hAnsi="OpenSans" w:cs="OpenSans"/>
        </w:rPr>
        <w:t xml:space="preserve"> </w:t>
      </w:r>
      <w:r w:rsidRPr="00D723C3">
        <w:rPr>
          <w:rFonts w:ascii="OpenSans" w:hAnsi="OpenSans" w:cs="OpenSans"/>
        </w:rPr>
        <w:t>(AK). Darin wurde bestätigt, dass das Anerkennungskriterium</w:t>
      </w:r>
      <w:r>
        <w:rPr>
          <w:rFonts w:ascii="OpenSans" w:hAnsi="OpenSans" w:cs="OpenSans"/>
        </w:rPr>
        <w:t xml:space="preserve"> </w:t>
      </w:r>
      <w:r w:rsidRPr="00D723C3">
        <w:rPr>
          <w:rFonts w:ascii="OpenSans" w:hAnsi="OpenSans" w:cs="OpenSans"/>
        </w:rPr>
        <w:t xml:space="preserve">des Prinzips der Binnendemokratie im bisherigen </w:t>
      </w:r>
      <w:proofErr w:type="spellStart"/>
      <w:r w:rsidRPr="00D723C3">
        <w:rPr>
          <w:rFonts w:ascii="OpenSans" w:hAnsi="OpenSans" w:cs="OpenSans"/>
        </w:rPr>
        <w:t>UmwRG</w:t>
      </w:r>
      <w:proofErr w:type="spellEnd"/>
      <w:r w:rsidRPr="00D723C3">
        <w:rPr>
          <w:rFonts w:ascii="OpenSans" w:hAnsi="OpenSans" w:cs="OpenSans"/>
        </w:rPr>
        <w:t xml:space="preserve"> gegen</w:t>
      </w:r>
      <w:r>
        <w:rPr>
          <w:rFonts w:ascii="OpenSans" w:hAnsi="OpenSans" w:cs="OpenSans"/>
        </w:rPr>
        <w:t xml:space="preserve"> </w:t>
      </w:r>
      <w:r w:rsidRPr="00D723C3">
        <w:rPr>
          <w:rFonts w:ascii="OpenSans" w:hAnsi="OpenSans" w:cs="OpenSans"/>
        </w:rPr>
        <w:t>das Völkerrecht verstößt, und empfohlen, die Anforderung zu</w:t>
      </w:r>
      <w:r>
        <w:rPr>
          <w:rFonts w:ascii="OpenSans" w:hAnsi="OpenSans" w:cs="OpenSans"/>
        </w:rPr>
        <w:t xml:space="preserve"> </w:t>
      </w:r>
      <w:r w:rsidRPr="00D723C3">
        <w:rPr>
          <w:rFonts w:ascii="OpenSans" w:hAnsi="OpenSans" w:cs="OpenSans"/>
        </w:rPr>
        <w:t>streichen.</w:t>
      </w:r>
      <w:r>
        <w:rPr>
          <w:rFonts w:ascii="OpenSans" w:hAnsi="OpenSans" w:cs="OpenSans"/>
        </w:rPr>
        <w:t xml:space="preserve">  </w:t>
      </w:r>
      <w:r w:rsidRPr="00D723C3">
        <w:rPr>
          <w:rFonts w:ascii="OpenSans" w:hAnsi="OpenSans" w:cs="OpenSans"/>
        </w:rPr>
        <w:t>Zudem soll eine EuGH-Entscheidung umgesetzt werden, wonach</w:t>
      </w:r>
      <w:r>
        <w:rPr>
          <w:rFonts w:ascii="OpenSans" w:hAnsi="OpenSans" w:cs="OpenSans"/>
        </w:rPr>
        <w:t xml:space="preserve"> </w:t>
      </w:r>
      <w:r w:rsidRPr="00D723C3">
        <w:rPr>
          <w:rFonts w:ascii="OpenSans" w:hAnsi="OpenSans" w:cs="OpenSans"/>
        </w:rPr>
        <w:t xml:space="preserve">EU-MS den sachlichen </w:t>
      </w:r>
      <w:r>
        <w:rPr>
          <w:rFonts w:ascii="OpenSans" w:hAnsi="OpenSans" w:cs="OpenSans"/>
        </w:rPr>
        <w:t>A</w:t>
      </w:r>
      <w:r w:rsidRPr="00D723C3">
        <w:rPr>
          <w:rFonts w:ascii="OpenSans" w:hAnsi="OpenSans" w:cs="OpenSans"/>
        </w:rPr>
        <w:t>nwendungsbereich von Art. 9 Abs. 3 AK</w:t>
      </w:r>
      <w:r>
        <w:rPr>
          <w:rFonts w:ascii="OpenSans" w:hAnsi="OpenSans" w:cs="OpenSans"/>
        </w:rPr>
        <w:t xml:space="preserve"> </w:t>
      </w:r>
      <w:r w:rsidRPr="00D723C3">
        <w:rPr>
          <w:rFonts w:ascii="OpenSans" w:hAnsi="OpenSans" w:cs="OpenSans"/>
        </w:rPr>
        <w:t>nicht dadurch einschränken dürfen, dass sie bestimmte Kategorien</w:t>
      </w:r>
      <w:r>
        <w:rPr>
          <w:rFonts w:ascii="OpenSans" w:hAnsi="OpenSans" w:cs="OpenSans"/>
        </w:rPr>
        <w:t xml:space="preserve"> </w:t>
      </w:r>
      <w:r w:rsidRPr="00D723C3">
        <w:rPr>
          <w:rFonts w:ascii="OpenSans" w:hAnsi="OpenSans" w:cs="OpenSans"/>
        </w:rPr>
        <w:t>von Bestimmungen des nationalen Umweltrechts vom</w:t>
      </w:r>
      <w:r>
        <w:rPr>
          <w:rFonts w:ascii="OpenSans" w:hAnsi="OpenSans" w:cs="OpenSans"/>
        </w:rPr>
        <w:t xml:space="preserve"> </w:t>
      </w:r>
      <w:r w:rsidRPr="00D723C3">
        <w:rPr>
          <w:rFonts w:ascii="OpenSans" w:hAnsi="OpenSans" w:cs="OpenSans"/>
        </w:rPr>
        <w:t>Gegenstand der Klage anerkannter Umweltvereinigungen ausnehmen.</w:t>
      </w:r>
      <w:r>
        <w:rPr>
          <w:rFonts w:ascii="OpenSans" w:hAnsi="OpenSans" w:cs="OpenSans"/>
        </w:rPr>
        <w:t xml:space="preserve"> </w:t>
      </w:r>
      <w:r w:rsidRPr="00D723C3">
        <w:rPr>
          <w:rFonts w:ascii="OpenSans" w:hAnsi="OpenSans" w:cs="OpenSans"/>
        </w:rPr>
        <w:t>Der Katalog an Entscheidungen soll entsprechend</w:t>
      </w:r>
      <w:r>
        <w:rPr>
          <w:rFonts w:ascii="OpenSans" w:hAnsi="OpenSans" w:cs="OpenSans"/>
        </w:rPr>
        <w:t xml:space="preserve"> </w:t>
      </w:r>
      <w:r w:rsidRPr="00D723C3">
        <w:rPr>
          <w:rFonts w:ascii="OpenSans" w:hAnsi="OpenSans" w:cs="OpenSans"/>
        </w:rPr>
        <w:t>erweitert werden.</w:t>
      </w:r>
      <w:r>
        <w:rPr>
          <w:rFonts w:ascii="OpenSans" w:hAnsi="OpenSans" w:cs="OpenSans"/>
        </w:rPr>
        <w:t xml:space="preserve"> </w:t>
      </w:r>
      <w:r w:rsidRPr="00D723C3">
        <w:rPr>
          <w:rFonts w:ascii="OpenSans" w:hAnsi="OpenSans" w:cs="OpenSans"/>
        </w:rPr>
        <w:t>Darüber hinaus soll aufgrund eines BVerwG-Urteils das Klagerecht</w:t>
      </w:r>
      <w:r>
        <w:rPr>
          <w:rFonts w:ascii="OpenSans" w:hAnsi="OpenSans" w:cs="OpenSans"/>
        </w:rPr>
        <w:t xml:space="preserve"> </w:t>
      </w:r>
      <w:r w:rsidRPr="00D723C3">
        <w:rPr>
          <w:rFonts w:ascii="OpenSans" w:hAnsi="OpenSans" w:cs="OpenSans"/>
        </w:rPr>
        <w:t>von anerkannten Umweltvereinigungen auch auf mögliche</w:t>
      </w:r>
      <w:r>
        <w:rPr>
          <w:rFonts w:ascii="OpenSans" w:hAnsi="OpenSans" w:cs="OpenSans"/>
        </w:rPr>
        <w:t xml:space="preserve"> </w:t>
      </w:r>
      <w:r w:rsidRPr="00D723C3">
        <w:rPr>
          <w:rFonts w:ascii="OpenSans" w:hAnsi="OpenSans" w:cs="OpenSans"/>
        </w:rPr>
        <w:t xml:space="preserve">Verstöße gegen EU-Umweltrecht bei behördlichen </w:t>
      </w:r>
      <w:r>
        <w:rPr>
          <w:rFonts w:ascii="OpenSans" w:hAnsi="OpenSans" w:cs="OpenSans"/>
        </w:rPr>
        <w:t>E</w:t>
      </w:r>
      <w:r w:rsidRPr="00D723C3">
        <w:rPr>
          <w:rFonts w:ascii="OpenSans" w:hAnsi="OpenSans" w:cs="OpenSans"/>
        </w:rPr>
        <w:t>ntscheidungen</w:t>
      </w:r>
      <w:r>
        <w:rPr>
          <w:rFonts w:ascii="OpenSans" w:hAnsi="OpenSans" w:cs="OpenSans"/>
        </w:rPr>
        <w:t xml:space="preserve"> </w:t>
      </w:r>
      <w:r w:rsidRPr="00D723C3">
        <w:rPr>
          <w:rFonts w:ascii="OpenSans" w:hAnsi="OpenSans" w:cs="OpenSans"/>
        </w:rPr>
        <w:t>über die Zulassung von Plänen und Programmen, die keiner</w:t>
      </w:r>
      <w:r>
        <w:rPr>
          <w:rFonts w:ascii="OpenSans" w:hAnsi="OpenSans" w:cs="OpenSans"/>
        </w:rPr>
        <w:t xml:space="preserve"> </w:t>
      </w:r>
      <w:r w:rsidRPr="00D723C3">
        <w:rPr>
          <w:rFonts w:ascii="OpenSans" w:hAnsi="OpenSans" w:cs="OpenSans"/>
        </w:rPr>
        <w:t>Pflicht zur Durchführung einer Strategischen Umweltprüfung</w:t>
      </w:r>
      <w:r>
        <w:rPr>
          <w:rFonts w:ascii="OpenSans" w:hAnsi="OpenSans" w:cs="OpenSans"/>
        </w:rPr>
        <w:t xml:space="preserve"> </w:t>
      </w:r>
      <w:r w:rsidRPr="00D723C3">
        <w:rPr>
          <w:rFonts w:ascii="OpenSans" w:hAnsi="OpenSans" w:cs="OpenSans"/>
        </w:rPr>
        <w:t>(SUP) unterliegen, erweitert werden.</w:t>
      </w:r>
      <w:r>
        <w:rPr>
          <w:rFonts w:ascii="OpenSans" w:hAnsi="OpenSans" w:cs="OpenSans"/>
        </w:rPr>
        <w:t xml:space="preserve"> </w:t>
      </w:r>
      <w:r w:rsidRPr="00D723C3">
        <w:rPr>
          <w:rFonts w:ascii="OpenSans" w:hAnsi="OpenSans" w:cs="OpenSans"/>
        </w:rPr>
        <w:t>Ferner sollen Anpassungen auf Grundlage der BT-Entschließungen</w:t>
      </w:r>
      <w:r>
        <w:rPr>
          <w:rFonts w:ascii="OpenSans" w:hAnsi="OpenSans" w:cs="OpenSans"/>
        </w:rPr>
        <w:t xml:space="preserve"> </w:t>
      </w:r>
      <w:r w:rsidRPr="00D723C3">
        <w:rPr>
          <w:rFonts w:ascii="OpenSans" w:hAnsi="OpenSans" w:cs="OpenSans"/>
        </w:rPr>
        <w:t>auf BT-</w:t>
      </w:r>
      <w:proofErr w:type="spellStart"/>
      <w:r w:rsidRPr="00D723C3">
        <w:rPr>
          <w:rFonts w:ascii="OpenSans" w:hAnsi="OpenSans" w:cs="OpenSans"/>
        </w:rPr>
        <w:t>Drs</w:t>
      </w:r>
      <w:proofErr w:type="spellEnd"/>
      <w:r w:rsidRPr="00D723C3">
        <w:rPr>
          <w:rFonts w:ascii="OpenSans" w:hAnsi="OpenSans" w:cs="OpenSans"/>
        </w:rPr>
        <w:t xml:space="preserve">. 18/12146 (Überführung § 64 </w:t>
      </w:r>
      <w:r w:rsidRPr="00D723C3">
        <w:rPr>
          <w:rFonts w:ascii="OpenSans" w:hAnsi="OpenSans" w:cs="OpenSans"/>
        </w:rPr>
        <w:lastRenderedPageBreak/>
        <w:t>BNatSchG in das</w:t>
      </w:r>
      <w:r>
        <w:rPr>
          <w:rFonts w:ascii="OpenSans" w:hAnsi="OpenSans" w:cs="OpenSans"/>
        </w:rPr>
        <w:t xml:space="preserve"> </w:t>
      </w:r>
      <w:proofErr w:type="spellStart"/>
      <w:r w:rsidRPr="00D723C3">
        <w:rPr>
          <w:rFonts w:ascii="OpenSans" w:hAnsi="OpenSans" w:cs="OpenSans"/>
        </w:rPr>
        <w:t>UmwRG</w:t>
      </w:r>
      <w:proofErr w:type="spellEnd"/>
      <w:r w:rsidRPr="00D723C3">
        <w:rPr>
          <w:rFonts w:ascii="OpenSans" w:hAnsi="OpenSans" w:cs="OpenSans"/>
        </w:rPr>
        <w:t>) und BT-</w:t>
      </w:r>
      <w:proofErr w:type="spellStart"/>
      <w:r w:rsidRPr="00D723C3">
        <w:rPr>
          <w:rFonts w:ascii="OpenSans" w:hAnsi="OpenSans" w:cs="OpenSans"/>
        </w:rPr>
        <w:t>Drs</w:t>
      </w:r>
      <w:proofErr w:type="spellEnd"/>
      <w:r w:rsidRPr="00D723C3">
        <w:rPr>
          <w:rFonts w:ascii="OpenSans" w:hAnsi="OpenSans" w:cs="OpenSans"/>
        </w:rPr>
        <w:t>. 20/5570 (Einführung Klageerwiderungsfrist,</w:t>
      </w:r>
      <w:r>
        <w:rPr>
          <w:rFonts w:ascii="OpenSans" w:hAnsi="OpenSans" w:cs="OpenSans"/>
        </w:rPr>
        <w:t xml:space="preserve"> </w:t>
      </w:r>
      <w:r w:rsidRPr="00D723C3">
        <w:rPr>
          <w:rFonts w:ascii="OpenSans" w:hAnsi="OpenSans" w:cs="OpenSans"/>
        </w:rPr>
        <w:t>Regelbeispiele für missbräuchliches und unredliches Verhalten</w:t>
      </w:r>
      <w:r>
        <w:rPr>
          <w:rFonts w:ascii="OpenSans" w:hAnsi="OpenSans" w:cs="OpenSans"/>
        </w:rPr>
        <w:t xml:space="preserve"> </w:t>
      </w:r>
      <w:r w:rsidRPr="00D723C3">
        <w:rPr>
          <w:rFonts w:ascii="OpenSans" w:hAnsi="OpenSans" w:cs="OpenSans"/>
        </w:rPr>
        <w:t xml:space="preserve">nach § 5 </w:t>
      </w:r>
      <w:proofErr w:type="spellStart"/>
      <w:r w:rsidRPr="00D723C3">
        <w:rPr>
          <w:rFonts w:ascii="OpenSans" w:hAnsi="OpenSans" w:cs="OpenSans"/>
        </w:rPr>
        <w:t>UmwRG</w:t>
      </w:r>
      <w:proofErr w:type="spellEnd"/>
      <w:r w:rsidRPr="00D723C3">
        <w:rPr>
          <w:rFonts w:ascii="OpenSans" w:hAnsi="OpenSans" w:cs="OpenSans"/>
        </w:rPr>
        <w:t>) erfolgen.</w:t>
      </w:r>
      <w:r>
        <w:rPr>
          <w:rFonts w:ascii="OpenSans" w:hAnsi="OpenSans" w:cs="OpenSans"/>
        </w:rPr>
        <w:t xml:space="preserve"> </w:t>
      </w:r>
      <w:r w:rsidRPr="00D723C3">
        <w:rPr>
          <w:rFonts w:ascii="OpenSans" w:hAnsi="OpenSans" w:cs="OpenSans"/>
          <w:b/>
          <w:bCs/>
        </w:rPr>
        <w:t>Weitere Änderungen sehen die Straffung verwaltungsgerichtlicher</w:t>
      </w:r>
      <w:r w:rsidRPr="00D723C3">
        <w:rPr>
          <w:rFonts w:ascii="OpenSans" w:hAnsi="OpenSans" w:cs="OpenSans"/>
          <w:b/>
          <w:bCs/>
        </w:rPr>
        <w:t xml:space="preserve"> </w:t>
      </w:r>
      <w:r w:rsidRPr="00D723C3">
        <w:rPr>
          <w:rFonts w:ascii="OpenSans" w:hAnsi="OpenSans" w:cs="OpenSans"/>
          <w:b/>
          <w:bCs/>
        </w:rPr>
        <w:t>Verfahren vor</w:t>
      </w:r>
      <w:r w:rsidRPr="00D723C3">
        <w:rPr>
          <w:rFonts w:ascii="OpenSans" w:hAnsi="OpenSans" w:cs="OpenSans"/>
        </w:rPr>
        <w:t xml:space="preserve">, u.a. durch die künftige Befristung </w:t>
      </w:r>
      <w:proofErr w:type="gramStart"/>
      <w:r w:rsidRPr="00D723C3">
        <w:rPr>
          <w:rFonts w:ascii="OpenSans" w:hAnsi="OpenSans" w:cs="OpenSans"/>
        </w:rPr>
        <w:t xml:space="preserve">der </w:t>
      </w:r>
      <w:r>
        <w:rPr>
          <w:rFonts w:ascii="OpenSans" w:hAnsi="OpenSans" w:cs="OpenSans"/>
        </w:rPr>
        <w:t xml:space="preserve"> A</w:t>
      </w:r>
      <w:r w:rsidRPr="00D723C3">
        <w:rPr>
          <w:rFonts w:ascii="OpenSans" w:hAnsi="OpenSans" w:cs="OpenSans"/>
        </w:rPr>
        <w:t>nerkennung</w:t>
      </w:r>
      <w:proofErr w:type="gramEnd"/>
      <w:r>
        <w:rPr>
          <w:rFonts w:ascii="OpenSans" w:hAnsi="OpenSans" w:cs="OpenSans"/>
        </w:rPr>
        <w:t xml:space="preserve"> </w:t>
      </w:r>
      <w:r w:rsidRPr="00D723C3">
        <w:rPr>
          <w:rFonts w:ascii="OpenSans" w:hAnsi="OpenSans" w:cs="OpenSans"/>
        </w:rPr>
        <w:t>von Umweltverbänden, die Einführung einer materiellen</w:t>
      </w:r>
      <w:r>
        <w:rPr>
          <w:rFonts w:ascii="OpenSans" w:hAnsi="OpenSans" w:cs="OpenSans"/>
        </w:rPr>
        <w:t xml:space="preserve"> </w:t>
      </w:r>
      <w:r w:rsidRPr="00D723C3">
        <w:rPr>
          <w:rFonts w:ascii="OpenSans" w:hAnsi="OpenSans" w:cs="OpenSans"/>
        </w:rPr>
        <w:t>Präklusion sowie den Entfall der aufschiebenden Wirkung von</w:t>
      </w:r>
      <w:r>
        <w:rPr>
          <w:rFonts w:ascii="OpenSans" w:hAnsi="OpenSans" w:cs="OpenSans"/>
        </w:rPr>
        <w:t xml:space="preserve"> Klagen.</w:t>
      </w:r>
    </w:p>
    <w:p w14:paraId="28B2209E" w14:textId="549A05D2" w:rsidR="006C7EB6" w:rsidRDefault="006C7EB6" w:rsidP="00D723C3">
      <w:pPr>
        <w:autoSpaceDE w:val="0"/>
        <w:autoSpaceDN w:val="0"/>
        <w:adjustRightInd w:val="0"/>
        <w:spacing w:after="0" w:line="240" w:lineRule="auto"/>
        <w:rPr>
          <w:rFonts w:ascii="OpenSans" w:hAnsi="OpenSans" w:cs="OpenSans"/>
        </w:rPr>
      </w:pPr>
    </w:p>
    <w:p w14:paraId="33DE1A83" w14:textId="47805CD2" w:rsidR="006C7EB6" w:rsidRDefault="006C7EB6" w:rsidP="00D723C3">
      <w:pPr>
        <w:autoSpaceDE w:val="0"/>
        <w:autoSpaceDN w:val="0"/>
        <w:adjustRightInd w:val="0"/>
        <w:spacing w:after="0" w:line="240" w:lineRule="auto"/>
        <w:rPr>
          <w:rFonts w:ascii="OpenSans" w:hAnsi="OpenSans" w:cs="OpenSans"/>
        </w:rPr>
      </w:pPr>
      <w:r>
        <w:rPr>
          <w:rFonts w:ascii="OpenSans" w:hAnsi="OpenSans" w:cs="OpenSans"/>
        </w:rPr>
        <w:t xml:space="preserve">Link: </w:t>
      </w:r>
      <w:hyperlink r:id="rId18" w:tgtFrame="_blank" w:history="1">
        <w:r>
          <w:rPr>
            <w:rStyle w:val="Hyperlink"/>
          </w:rPr>
          <w:t>https://www.bundesrat.de/bv.html?id=0043-26</w:t>
        </w:r>
      </w:hyperlink>
    </w:p>
    <w:p w14:paraId="2EFA94F6" w14:textId="77777777" w:rsidR="004860C7" w:rsidRDefault="004860C7" w:rsidP="00437669">
      <w:pPr>
        <w:autoSpaceDE w:val="0"/>
        <w:autoSpaceDN w:val="0"/>
        <w:adjustRightInd w:val="0"/>
        <w:spacing w:after="0" w:line="240" w:lineRule="auto"/>
        <w:rPr>
          <w:rFonts w:ascii="OpenSans" w:hAnsi="OpenSans" w:cs="OpenSans"/>
        </w:rPr>
      </w:pPr>
    </w:p>
    <w:p w14:paraId="6754FECB" w14:textId="77777777" w:rsidR="00437669" w:rsidRPr="00437669" w:rsidRDefault="00437669" w:rsidP="00437669">
      <w:pPr>
        <w:autoSpaceDE w:val="0"/>
        <w:autoSpaceDN w:val="0"/>
        <w:adjustRightInd w:val="0"/>
        <w:spacing w:after="0" w:line="240" w:lineRule="auto"/>
        <w:rPr>
          <w:rFonts w:ascii="OpenSans" w:hAnsi="OpenSans" w:cs="OpenSans"/>
        </w:rPr>
      </w:pPr>
    </w:p>
    <w:p w14:paraId="63418D61" w14:textId="0C9C369D" w:rsidR="007F104B" w:rsidRDefault="007F104B" w:rsidP="007F104B">
      <w:pPr>
        <w:shd w:val="clear" w:color="auto" w:fill="F2F2F2" w:themeFill="background1" w:themeFillShade="F2"/>
        <w:rPr>
          <w:b/>
          <w:sz w:val="24"/>
          <w:szCs w:val="24"/>
        </w:rPr>
      </w:pPr>
      <w:r>
        <w:rPr>
          <w:b/>
          <w:sz w:val="24"/>
          <w:szCs w:val="24"/>
        </w:rPr>
        <w:t>1.063</w:t>
      </w:r>
      <w:r w:rsidRPr="000B373F">
        <w:rPr>
          <w:b/>
          <w:sz w:val="24"/>
          <w:szCs w:val="24"/>
        </w:rPr>
        <w:t xml:space="preserve">. Plenarsitzung am </w:t>
      </w:r>
      <w:r>
        <w:rPr>
          <w:b/>
          <w:sz w:val="24"/>
          <w:szCs w:val="24"/>
        </w:rPr>
        <w:t>27. März 2026</w:t>
      </w:r>
    </w:p>
    <w:p w14:paraId="7CF4499B" w14:textId="77777777" w:rsidR="000F6409" w:rsidRDefault="000F6409" w:rsidP="000F6409">
      <w:pPr>
        <w:pBdr>
          <w:top w:val="single" w:sz="4" w:space="1" w:color="auto"/>
          <w:left w:val="single" w:sz="4" w:space="4" w:color="auto"/>
          <w:bottom w:val="single" w:sz="4" w:space="1" w:color="auto"/>
          <w:right w:val="single" w:sz="4" w:space="4" w:color="auto"/>
        </w:pBdr>
        <w:rPr>
          <w:rFonts w:ascii="OpenSans" w:hAnsi="OpenSans" w:cs="OpenSans"/>
        </w:rPr>
      </w:pPr>
      <w:r w:rsidRPr="000F6409">
        <w:rPr>
          <w:rFonts w:ascii="OpenSans" w:hAnsi="OpenSans" w:cs="OpenSans"/>
        </w:rPr>
        <w:t>Gesetz zur Umsetzung des Urteils des Bundesverfassungsgerichts</w:t>
      </w:r>
      <w:r>
        <w:rPr>
          <w:rFonts w:ascii="OpenSans" w:hAnsi="OpenSans" w:cs="OpenSans"/>
        </w:rPr>
        <w:t xml:space="preserve"> </w:t>
      </w:r>
      <w:r w:rsidRPr="000F6409">
        <w:rPr>
          <w:rFonts w:ascii="OpenSans" w:hAnsi="OpenSans" w:cs="OpenSans"/>
        </w:rPr>
        <w:t xml:space="preserve">zur </w:t>
      </w:r>
      <w:r w:rsidRPr="000F6409">
        <w:rPr>
          <w:rFonts w:ascii="OpenSans" w:hAnsi="OpenSans" w:cs="OpenSans"/>
          <w:b/>
          <w:bCs/>
        </w:rPr>
        <w:t>Vaterschaftsanfechtung</w:t>
      </w:r>
    </w:p>
    <w:p w14:paraId="668D12CB" w14:textId="36B6A84F" w:rsidR="000F6409" w:rsidRDefault="000F6409" w:rsidP="000F6409">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Pr>
          <w:rFonts w:cstheme="minorHAnsi"/>
          <w:color w:val="000000" w:themeColor="text1"/>
        </w:rPr>
        <w:t>124</w:t>
      </w:r>
      <w:r>
        <w:rPr>
          <w:rFonts w:cstheme="minorHAnsi"/>
          <w:color w:val="000000" w:themeColor="text1"/>
        </w:rPr>
        <w:t>/26</w:t>
      </w:r>
    </w:p>
    <w:p w14:paraId="5FE7E7F2" w14:textId="04E0FB4D" w:rsidR="007F104B" w:rsidRPr="006C7EB6" w:rsidRDefault="000F6409" w:rsidP="000F6409">
      <w:pPr>
        <w:autoSpaceDE w:val="0"/>
        <w:autoSpaceDN w:val="0"/>
        <w:adjustRightInd w:val="0"/>
        <w:spacing w:after="0" w:line="240" w:lineRule="auto"/>
        <w:rPr>
          <w:rFonts w:ascii="OpenSans" w:hAnsi="OpenSans" w:cs="OpenSans"/>
        </w:rPr>
      </w:pPr>
      <w:r w:rsidRPr="006C7EB6">
        <w:rPr>
          <w:rFonts w:ascii="OpenSans" w:hAnsi="OpenSans" w:cs="OpenSans"/>
        </w:rPr>
        <w:t>Der Bundesrat rief den Vermittlungsausschuss nicht</w:t>
      </w:r>
      <w:r w:rsidRPr="006C7EB6">
        <w:rPr>
          <w:rFonts w:ascii="OpenSans" w:hAnsi="OpenSans" w:cs="OpenSans"/>
        </w:rPr>
        <w:t xml:space="preserve"> </w:t>
      </w:r>
      <w:r w:rsidRPr="006C7EB6">
        <w:rPr>
          <w:rFonts w:ascii="OpenSans" w:hAnsi="OpenSans" w:cs="OpenSans"/>
        </w:rPr>
        <w:t>an.</w:t>
      </w:r>
    </w:p>
    <w:p w14:paraId="46155FA3" w14:textId="77777777" w:rsidR="00AC100B" w:rsidRPr="006C7EB6" w:rsidRDefault="00AC100B" w:rsidP="000F6409">
      <w:pPr>
        <w:autoSpaceDE w:val="0"/>
        <w:autoSpaceDN w:val="0"/>
        <w:adjustRightInd w:val="0"/>
        <w:spacing w:after="0" w:line="240" w:lineRule="auto"/>
        <w:rPr>
          <w:rFonts w:ascii="OpenSans" w:hAnsi="OpenSans"/>
        </w:rPr>
      </w:pPr>
    </w:p>
    <w:p w14:paraId="3051BF2D" w14:textId="351BD0C3" w:rsidR="00AC100B" w:rsidRPr="006C7EB6" w:rsidRDefault="00AC100B" w:rsidP="00AC100B">
      <w:pPr>
        <w:pStyle w:val="Drucksache"/>
        <w:ind w:left="0"/>
        <w:rPr>
          <w:rFonts w:ascii="OpenSans" w:eastAsia="OpenSans" w:hAnsi="OpenSans" w:cs="Open Sans" w:hint="eastAsia"/>
          <w:sz w:val="22"/>
          <w:szCs w:val="22"/>
        </w:rPr>
      </w:pPr>
      <w:r w:rsidRPr="006C7EB6">
        <w:rPr>
          <w:rFonts w:ascii="OpenSans" w:eastAsia="OpenSans" w:hAnsi="OpenSans" w:cs="Open Sans" w:hint="eastAsia"/>
          <w:sz w:val="22"/>
          <w:szCs w:val="22"/>
        </w:rPr>
        <w:t xml:space="preserve">Mit dem </w:t>
      </w:r>
      <w:r w:rsidRPr="006C7EB6">
        <w:rPr>
          <w:rFonts w:ascii="OpenSans" w:eastAsia="OpenSans" w:hAnsi="OpenSans" w:cs="Open Sans" w:hint="eastAsia"/>
          <w:b/>
          <w:bCs/>
          <w:sz w:val="22"/>
          <w:szCs w:val="22"/>
        </w:rPr>
        <w:t>G</w:t>
      </w:r>
      <w:r w:rsidRPr="006C7EB6">
        <w:rPr>
          <w:rFonts w:ascii="OpenSans" w:eastAsia="OpenSans" w:hAnsi="OpenSans" w:cs="Open Sans"/>
          <w:b/>
          <w:bCs/>
          <w:sz w:val="22"/>
          <w:szCs w:val="22"/>
        </w:rPr>
        <w:t>esetz</w:t>
      </w:r>
      <w:r w:rsidRPr="006C7EB6">
        <w:rPr>
          <w:rFonts w:ascii="OpenSans" w:eastAsia="OpenSans" w:hAnsi="OpenSans" w:cs="Open Sans" w:hint="eastAsia"/>
          <w:b/>
          <w:bCs/>
          <w:sz w:val="22"/>
          <w:szCs w:val="22"/>
        </w:rPr>
        <w:t xml:space="preserve"> soll ein Urteil des Bundesverfassungsgericht (BVerfG)</w:t>
      </w:r>
      <w:r w:rsidRPr="006C7EB6">
        <w:rPr>
          <w:rFonts w:ascii="OpenSans" w:eastAsia="OpenSans" w:hAnsi="OpenSans" w:cs="Open Sans" w:hint="eastAsia"/>
          <w:sz w:val="22"/>
          <w:szCs w:val="22"/>
        </w:rPr>
        <w:t xml:space="preserve"> </w:t>
      </w:r>
      <w:r w:rsidRPr="006C7EB6">
        <w:rPr>
          <w:rFonts w:ascii="OpenSans" w:eastAsia="OpenSans" w:hAnsi="OpenSans" w:cs="Open Sans" w:hint="eastAsia"/>
          <w:b/>
          <w:bCs/>
          <w:sz w:val="22"/>
          <w:szCs w:val="22"/>
        </w:rPr>
        <w:t>umgesetzt werden</w:t>
      </w:r>
      <w:r w:rsidRPr="006C7EB6">
        <w:rPr>
          <w:rFonts w:ascii="OpenSans" w:eastAsia="OpenSans" w:hAnsi="OpenSans" w:cs="Open Sans" w:hint="eastAsia"/>
          <w:sz w:val="22"/>
          <w:szCs w:val="22"/>
        </w:rPr>
        <w:t xml:space="preserve">, mit dem </w:t>
      </w:r>
      <w:r w:rsidRPr="006C7EB6">
        <w:rPr>
          <w:rFonts w:ascii="OpenSans" w:eastAsia="OpenSans" w:hAnsi="OpenSans" w:cs="Open Sans" w:hint="eastAsia"/>
          <w:b/>
          <w:bCs/>
          <w:sz w:val="22"/>
          <w:szCs w:val="22"/>
        </w:rPr>
        <w:t>Vorschriften für verfassungswidrig erklärt wurden, die die Rechte von vermeintlich leiblichen Vätern zur Anfechtung von Vaterschaften anderer Vätern</w:t>
      </w:r>
      <w:r w:rsidRPr="006C7EB6">
        <w:rPr>
          <w:rFonts w:ascii="OpenSans" w:eastAsia="OpenSans" w:hAnsi="OpenSans" w:cs="Open Sans" w:hint="eastAsia"/>
          <w:sz w:val="22"/>
          <w:szCs w:val="22"/>
        </w:rPr>
        <w:t xml:space="preserve"> regeln. Der Gesetzgeber ist aufgefordert, bis zum 31. März 2026 eine neue Regelung zu schaffen, da dann die Fortgeltungsanordnung des BVerfG ausläuft.  Das </w:t>
      </w:r>
      <w:r w:rsidRPr="006C7EB6">
        <w:rPr>
          <w:rFonts w:ascii="OpenSans" w:eastAsia="OpenSans" w:hAnsi="OpenSans" w:cs="Open Sans" w:hint="eastAsia"/>
          <w:b/>
          <w:bCs/>
          <w:sz w:val="22"/>
          <w:szCs w:val="22"/>
        </w:rPr>
        <w:t>BVerfG hat zugleich entschieden, dass dem leiblichen Vater ein hinreichend effektives Verfahren zur Verfügung stehen muss, das ihm die Erlangung der rechtlichen Vaterschaft ermöglicht</w:t>
      </w:r>
      <w:r w:rsidRPr="006C7EB6">
        <w:rPr>
          <w:rFonts w:ascii="OpenSans" w:eastAsia="OpenSans" w:hAnsi="OpenSans" w:cs="Open Sans" w:hint="eastAsia"/>
          <w:sz w:val="22"/>
          <w:szCs w:val="22"/>
        </w:rPr>
        <w:t>.</w:t>
      </w:r>
      <w:r w:rsidRPr="006C7EB6">
        <w:rPr>
          <w:rFonts w:ascii="OpenSans" w:eastAsia="OpenSans" w:hAnsi="OpenSans" w:hint="eastAsia"/>
        </w:rPr>
        <w:t xml:space="preserve"> </w:t>
      </w:r>
      <w:r w:rsidRPr="006C7EB6">
        <w:rPr>
          <w:rFonts w:ascii="OpenSans" w:eastAsia="OpenSans" w:hAnsi="OpenSans" w:cs="Open Sans" w:hint="eastAsia"/>
          <w:sz w:val="22"/>
          <w:szCs w:val="22"/>
        </w:rPr>
        <w:t xml:space="preserve">Der Entwurf schlägt mehrere Maßnahmen vor, um die Entscheidung des Bundesverfassungsgerichts umzusetzen und einen „Wettlauf um die Vaterschaft“ zu vermeiden beziehungsweise sachgerecht aufzulösen. Im Zentrum steht eine </w:t>
      </w:r>
      <w:r w:rsidRPr="006C7EB6">
        <w:rPr>
          <w:rFonts w:ascii="OpenSans" w:eastAsia="OpenSans" w:hAnsi="OpenSans" w:cs="Open Sans" w:hint="eastAsia"/>
          <w:b/>
          <w:bCs/>
          <w:sz w:val="22"/>
          <w:szCs w:val="22"/>
        </w:rPr>
        <w:t>Neuausrichtung der Anfechtung der Vaterschaft eines anderen Mannes durch den leiblichen Vater</w:t>
      </w:r>
      <w:r w:rsidRPr="006C7EB6">
        <w:rPr>
          <w:rFonts w:ascii="OpenSans" w:eastAsia="OpenSans" w:hAnsi="OpenSans" w:cs="Open Sans" w:hint="eastAsia"/>
          <w:sz w:val="22"/>
          <w:szCs w:val="22"/>
        </w:rPr>
        <w:t xml:space="preserve">, um abhängig vom Lebensalter des Kindes den Grundrechten aller Beteiligten angemessen Rechnung zu tragen. </w:t>
      </w:r>
    </w:p>
    <w:p w14:paraId="4B1FE562" w14:textId="77777777" w:rsidR="00AC100B" w:rsidRPr="006C7EB6" w:rsidRDefault="00AC100B" w:rsidP="00AC100B">
      <w:pPr>
        <w:pStyle w:val="Drucksache"/>
        <w:ind w:left="0"/>
        <w:rPr>
          <w:rFonts w:ascii="OpenSans" w:eastAsia="OpenSans" w:hAnsi="OpenSans" w:cs="Open Sans" w:hint="eastAsia"/>
          <w:sz w:val="22"/>
          <w:szCs w:val="22"/>
        </w:rPr>
      </w:pPr>
    </w:p>
    <w:p w14:paraId="21AFB7BF" w14:textId="4B70687C" w:rsidR="00AC100B" w:rsidRPr="006C7EB6" w:rsidRDefault="00AC100B" w:rsidP="00AC100B">
      <w:pPr>
        <w:pStyle w:val="Drucksache"/>
        <w:ind w:left="0"/>
        <w:rPr>
          <w:rFonts w:ascii="OpenSans" w:eastAsia="OpenSans" w:hAnsi="OpenSans" w:cs="Open Sans"/>
          <w:sz w:val="22"/>
          <w:szCs w:val="22"/>
        </w:rPr>
      </w:pPr>
      <w:r w:rsidRPr="006C7EB6">
        <w:rPr>
          <w:rFonts w:ascii="OpenSans" w:eastAsia="OpenSans" w:hAnsi="OpenSans" w:cs="Open Sans" w:hint="eastAsia"/>
          <w:b/>
          <w:sz w:val="22"/>
          <w:szCs w:val="22"/>
        </w:rPr>
        <w:t>Im Bundestagsverfahen</w:t>
      </w:r>
      <w:r w:rsidRPr="006C7EB6">
        <w:rPr>
          <w:rFonts w:ascii="OpenSans" w:eastAsia="OpenSans" w:hAnsi="OpenSans" w:cs="Open Sans" w:hint="eastAsia"/>
          <w:sz w:val="22"/>
          <w:szCs w:val="22"/>
        </w:rPr>
        <w:t xml:space="preserve"> wurden die Regelung zur </w:t>
      </w:r>
      <w:r w:rsidRPr="006C7EB6">
        <w:rPr>
          <w:rFonts w:ascii="OpenSans" w:eastAsia="OpenSans" w:hAnsi="OpenSans" w:cs="Open Sans" w:hint="eastAsia"/>
          <w:b/>
          <w:bCs/>
          <w:sz w:val="22"/>
          <w:szCs w:val="22"/>
        </w:rPr>
        <w:t>Wiederaufnahme nach erfolgloser Anfechtung</w:t>
      </w:r>
      <w:r w:rsidRPr="006C7EB6">
        <w:rPr>
          <w:rFonts w:ascii="OpenSans" w:eastAsia="OpenSans" w:hAnsi="OpenSans" w:cs="Open Sans" w:hint="eastAsia"/>
          <w:sz w:val="22"/>
          <w:szCs w:val="22"/>
        </w:rPr>
        <w:t xml:space="preserve"> </w:t>
      </w:r>
      <w:r w:rsidRPr="006C7EB6">
        <w:rPr>
          <w:rFonts w:ascii="OpenSans" w:eastAsia="OpenSans" w:hAnsi="OpenSans" w:cs="Open Sans" w:hint="eastAsia"/>
          <w:b/>
          <w:sz w:val="22"/>
          <w:szCs w:val="22"/>
        </w:rPr>
        <w:t>nachgeschärft</w:t>
      </w:r>
      <w:r w:rsidRPr="006C7EB6">
        <w:rPr>
          <w:rFonts w:ascii="OpenSans" w:eastAsia="OpenSans" w:hAnsi="OpenSans" w:cs="Open Sans" w:hint="eastAsia"/>
          <w:sz w:val="22"/>
          <w:szCs w:val="22"/>
        </w:rPr>
        <w:t xml:space="preserve">: Diese wird enger gefasst und ist </w:t>
      </w:r>
      <w:r w:rsidRPr="006C7EB6">
        <w:rPr>
          <w:rFonts w:ascii="OpenSans" w:eastAsia="OpenSans" w:hAnsi="OpenSans" w:cs="Open Sans" w:hint="eastAsia"/>
          <w:b/>
          <w:bCs/>
          <w:sz w:val="22"/>
          <w:szCs w:val="22"/>
        </w:rPr>
        <w:t>nur noch zulässig</w:t>
      </w:r>
      <w:r w:rsidRPr="006C7EB6">
        <w:rPr>
          <w:rFonts w:ascii="OpenSans" w:eastAsia="OpenSans" w:hAnsi="OpenSans" w:cs="Open Sans" w:hint="eastAsia"/>
          <w:sz w:val="22"/>
          <w:szCs w:val="22"/>
        </w:rPr>
        <w:t xml:space="preserve">, wenn die </w:t>
      </w:r>
      <w:r w:rsidRPr="006C7EB6">
        <w:rPr>
          <w:rFonts w:ascii="OpenSans" w:eastAsia="OpenSans" w:hAnsi="OpenSans" w:cs="Open Sans" w:hint="eastAsia"/>
          <w:b/>
          <w:sz w:val="22"/>
          <w:szCs w:val="22"/>
        </w:rPr>
        <w:t>sozial-familiäre Beziehung zwischen Kind und rechtlichem Vater beendet</w:t>
      </w:r>
      <w:r w:rsidRPr="006C7EB6">
        <w:rPr>
          <w:rFonts w:ascii="OpenSans" w:eastAsia="OpenSans" w:hAnsi="OpenSans" w:cs="Open Sans" w:hint="eastAsia"/>
          <w:sz w:val="22"/>
          <w:szCs w:val="22"/>
        </w:rPr>
        <w:t xml:space="preserve"> ist. Zugleich wird die bislang einheitliche </w:t>
      </w:r>
      <w:r w:rsidRPr="006C7EB6">
        <w:rPr>
          <w:rFonts w:ascii="OpenSans" w:eastAsia="OpenSans" w:hAnsi="OpenSans" w:cs="Open Sans" w:hint="eastAsia"/>
          <w:b/>
          <w:bCs/>
          <w:sz w:val="22"/>
          <w:szCs w:val="22"/>
        </w:rPr>
        <w:t>Wartefrist</w:t>
      </w:r>
      <w:r w:rsidRPr="006C7EB6">
        <w:rPr>
          <w:rFonts w:ascii="OpenSans" w:eastAsia="OpenSans" w:hAnsi="OpenSans" w:cs="Open Sans" w:hint="eastAsia"/>
          <w:sz w:val="22"/>
          <w:szCs w:val="22"/>
        </w:rPr>
        <w:t xml:space="preserve"> ersetzt durch eine </w:t>
      </w:r>
      <w:r w:rsidRPr="006C7EB6">
        <w:rPr>
          <w:rFonts w:ascii="OpenSans" w:eastAsia="OpenSans" w:hAnsi="OpenSans" w:cs="Open Sans" w:hint="eastAsia"/>
          <w:b/>
          <w:sz w:val="22"/>
          <w:szCs w:val="22"/>
        </w:rPr>
        <w:t>gestaffelte Frist nach Alter des Kindes</w:t>
      </w:r>
      <w:r w:rsidRPr="006C7EB6">
        <w:rPr>
          <w:rFonts w:ascii="OpenSans" w:eastAsia="OpenSans" w:hAnsi="OpenSans" w:cs="Open Sans" w:hint="eastAsia"/>
          <w:sz w:val="22"/>
          <w:szCs w:val="22"/>
        </w:rPr>
        <w:t xml:space="preserve"> beim Eintritt der Rechtskraft. Außerdem wird die </w:t>
      </w:r>
      <w:r w:rsidRPr="006C7EB6">
        <w:rPr>
          <w:rFonts w:ascii="OpenSans" w:eastAsia="OpenSans" w:hAnsi="OpenSans" w:cs="Open Sans" w:hint="eastAsia"/>
          <w:b/>
          <w:sz w:val="22"/>
          <w:szCs w:val="22"/>
        </w:rPr>
        <w:t>Wiederaufnahme ausgeschlossen</w:t>
      </w:r>
      <w:r w:rsidRPr="006C7EB6">
        <w:rPr>
          <w:rFonts w:ascii="OpenSans" w:eastAsia="OpenSans" w:hAnsi="OpenSans" w:cs="Open Sans" w:hint="eastAsia"/>
          <w:sz w:val="22"/>
          <w:szCs w:val="22"/>
        </w:rPr>
        <w:t xml:space="preserve">, wenn das Kind bei Rechtskraft des abweisenden Beschlusses bereits </w:t>
      </w:r>
      <w:r w:rsidRPr="006C7EB6">
        <w:rPr>
          <w:rFonts w:ascii="OpenSans" w:eastAsia="OpenSans" w:hAnsi="OpenSans" w:cs="Open Sans" w:hint="eastAsia"/>
          <w:b/>
          <w:sz w:val="22"/>
          <w:szCs w:val="22"/>
        </w:rPr>
        <w:t>volljährig</w:t>
      </w:r>
      <w:r w:rsidRPr="006C7EB6">
        <w:rPr>
          <w:rFonts w:ascii="OpenSans" w:eastAsia="OpenSans" w:hAnsi="OpenSans" w:cs="Open Sans" w:hint="eastAsia"/>
          <w:sz w:val="22"/>
          <w:szCs w:val="22"/>
        </w:rPr>
        <w:t xml:space="preserve"> war.</w:t>
      </w:r>
    </w:p>
    <w:p w14:paraId="32654187" w14:textId="718FA1C5" w:rsidR="006C7EB6" w:rsidRPr="006C7EB6" w:rsidRDefault="006C7EB6" w:rsidP="00AC100B">
      <w:pPr>
        <w:pStyle w:val="Drucksache"/>
        <w:ind w:left="0"/>
        <w:rPr>
          <w:rFonts w:ascii="OpenSans" w:eastAsia="OpenSans" w:hAnsi="OpenSans" w:cs="Open Sans"/>
          <w:sz w:val="22"/>
          <w:szCs w:val="22"/>
        </w:rPr>
      </w:pPr>
    </w:p>
    <w:p w14:paraId="2E3DF894" w14:textId="51D7B0A4" w:rsidR="006C7EB6" w:rsidRPr="006C7EB6" w:rsidRDefault="006C7EB6" w:rsidP="00AC100B">
      <w:pPr>
        <w:pStyle w:val="Drucksache"/>
        <w:ind w:left="0"/>
        <w:rPr>
          <w:rFonts w:ascii="OpenSans" w:eastAsia="OpenSans" w:hAnsi="OpenSans" w:cs="Open Sans" w:hint="eastAsia"/>
          <w:sz w:val="22"/>
          <w:szCs w:val="22"/>
        </w:rPr>
      </w:pPr>
      <w:r w:rsidRPr="006C7EB6">
        <w:rPr>
          <w:rFonts w:ascii="OpenSans" w:eastAsia="OpenSans" w:hAnsi="OpenSans" w:cs="Open Sans"/>
          <w:sz w:val="22"/>
          <w:szCs w:val="22"/>
        </w:rPr>
        <w:t>Link:</w:t>
      </w:r>
      <w:r w:rsidRPr="006C7EB6">
        <w:rPr>
          <w:rFonts w:ascii="OpenSans" w:hAnsi="OpenSans"/>
        </w:rPr>
        <w:t xml:space="preserve"> </w:t>
      </w:r>
      <w:hyperlink r:id="rId19" w:tgtFrame="_blank" w:history="1">
        <w:r w:rsidRPr="006C7EB6">
          <w:rPr>
            <w:rStyle w:val="Hyperlink"/>
            <w:rFonts w:ascii="OpenSans" w:hAnsi="OpenSans"/>
          </w:rPr>
          <w:t>https://www.bundesrat.de/bv.html?id=0124-26</w:t>
        </w:r>
      </w:hyperlink>
    </w:p>
    <w:p w14:paraId="4F61D6E2" w14:textId="77777777" w:rsidR="000F6409" w:rsidRDefault="000F6409" w:rsidP="007F104B"/>
    <w:p w14:paraId="762B86CB" w14:textId="2DF88E86" w:rsidR="000F6409" w:rsidRDefault="000F6409" w:rsidP="000F6409">
      <w:pPr>
        <w:pBdr>
          <w:top w:val="single" w:sz="4" w:space="1" w:color="auto"/>
          <w:left w:val="single" w:sz="4" w:space="4" w:color="auto"/>
          <w:bottom w:val="single" w:sz="4" w:space="1" w:color="auto"/>
          <w:right w:val="single" w:sz="4" w:space="4" w:color="auto"/>
        </w:pBdr>
        <w:rPr>
          <w:rFonts w:ascii="OpenSans" w:hAnsi="OpenSans" w:cs="OpenSans"/>
          <w:b/>
          <w:bCs/>
        </w:rPr>
      </w:pPr>
      <w:r w:rsidRPr="000F6409">
        <w:rPr>
          <w:rFonts w:ascii="OpenSans" w:hAnsi="OpenSans" w:cs="OpenSans"/>
        </w:rPr>
        <w:t xml:space="preserve">Entwurf eines </w:t>
      </w:r>
      <w:r w:rsidRPr="000F6409">
        <w:rPr>
          <w:rFonts w:ascii="OpenSans" w:hAnsi="OpenSans" w:cs="OpenSans"/>
          <w:b/>
          <w:bCs/>
        </w:rPr>
        <w:t>Gesetzes zur Einführung einer Beweislastumkehr</w:t>
      </w:r>
      <w:r w:rsidRPr="000F6409">
        <w:rPr>
          <w:rFonts w:ascii="OpenSans" w:hAnsi="OpenSans" w:cs="OpenSans"/>
          <w:b/>
          <w:bCs/>
        </w:rPr>
        <w:t xml:space="preserve"> </w:t>
      </w:r>
      <w:r w:rsidRPr="000F6409">
        <w:rPr>
          <w:rFonts w:ascii="OpenSans" w:hAnsi="OpenSans" w:cs="OpenSans"/>
          <w:b/>
          <w:bCs/>
        </w:rPr>
        <w:t>bei der selbständigen erweiterten Einziehung</w:t>
      </w:r>
      <w:r w:rsidRPr="000F6409">
        <w:rPr>
          <w:rFonts w:ascii="OpenSans" w:hAnsi="OpenSans" w:cs="OpenSans"/>
          <w:b/>
          <w:bCs/>
        </w:rPr>
        <w:t xml:space="preserve"> </w:t>
      </w:r>
      <w:r w:rsidRPr="000F6409">
        <w:rPr>
          <w:rFonts w:ascii="OpenSans" w:hAnsi="OpenSans" w:cs="OpenSans"/>
          <w:b/>
          <w:bCs/>
        </w:rPr>
        <w:t>nach § 76a Absatz 4 des Strafgesetzbuches</w:t>
      </w:r>
    </w:p>
    <w:p w14:paraId="33806FC4" w14:textId="4E13CC29" w:rsidR="000F6409" w:rsidRPr="000F6409" w:rsidRDefault="000F6409" w:rsidP="000F6409">
      <w:pPr>
        <w:pBdr>
          <w:top w:val="single" w:sz="4" w:space="1" w:color="auto"/>
          <w:left w:val="single" w:sz="4" w:space="4" w:color="auto"/>
          <w:bottom w:val="single" w:sz="4" w:space="1" w:color="auto"/>
          <w:right w:val="single" w:sz="4" w:space="4" w:color="auto"/>
        </w:pBdr>
        <w:rPr>
          <w:rFonts w:ascii="OpenSans" w:hAnsi="OpenSans" w:cs="OpenSans"/>
        </w:rPr>
      </w:pPr>
      <w:r w:rsidRPr="000F6409">
        <w:rPr>
          <w:rFonts w:ascii="OpenSans" w:hAnsi="OpenSans" w:cs="OpenSans"/>
        </w:rPr>
        <w:t>Antrag BE</w:t>
      </w:r>
    </w:p>
    <w:p w14:paraId="3CBAB8C6" w14:textId="674956F2" w:rsidR="000F6409" w:rsidRDefault="000F6409" w:rsidP="000F6409">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Pr>
          <w:rFonts w:cstheme="minorHAnsi"/>
          <w:color w:val="000000" w:themeColor="text1"/>
        </w:rPr>
        <w:t>131</w:t>
      </w:r>
      <w:r>
        <w:rPr>
          <w:rFonts w:cstheme="minorHAnsi"/>
          <w:color w:val="000000" w:themeColor="text1"/>
        </w:rPr>
        <w:t>/26</w:t>
      </w:r>
    </w:p>
    <w:p w14:paraId="7C5D37E9" w14:textId="2BF51303" w:rsidR="000F6409" w:rsidRPr="000F6409" w:rsidRDefault="000F6409" w:rsidP="000F6409">
      <w:pPr>
        <w:autoSpaceDE w:val="0"/>
        <w:autoSpaceDN w:val="0"/>
        <w:adjustRightInd w:val="0"/>
        <w:spacing w:after="0" w:line="240" w:lineRule="auto"/>
        <w:rPr>
          <w:rFonts w:ascii="OpenSans" w:hAnsi="OpenSans" w:cs="OpenSans,Italic"/>
        </w:rPr>
      </w:pPr>
      <w:r w:rsidRPr="000F6409">
        <w:rPr>
          <w:rFonts w:ascii="OpenSans" w:hAnsi="OpenSans" w:cs="OpenSans,Italic"/>
        </w:rPr>
        <w:t>Der Bundesrat brachte den G</w:t>
      </w:r>
      <w:r>
        <w:rPr>
          <w:rFonts w:ascii="OpenSans" w:hAnsi="OpenSans" w:cs="OpenSans,Italic"/>
        </w:rPr>
        <w:t xml:space="preserve">esetzentwurf </w:t>
      </w:r>
      <w:r w:rsidRPr="000F6409">
        <w:rPr>
          <w:rFonts w:ascii="OpenSans" w:hAnsi="OpenSans" w:cs="OpenSans,Italic"/>
        </w:rPr>
        <w:t xml:space="preserve">beim Deutschen Bundestag ein. </w:t>
      </w:r>
    </w:p>
    <w:p w14:paraId="1A053199" w14:textId="77777777" w:rsidR="000F6409" w:rsidRPr="000F6409" w:rsidRDefault="000F6409" w:rsidP="000F6409">
      <w:pPr>
        <w:autoSpaceDE w:val="0"/>
        <w:autoSpaceDN w:val="0"/>
        <w:adjustRightInd w:val="0"/>
        <w:spacing w:after="0" w:line="240" w:lineRule="auto"/>
        <w:rPr>
          <w:rFonts w:ascii="OpenSans" w:hAnsi="OpenSans" w:cs="OpenSans,Italic"/>
        </w:rPr>
      </w:pPr>
    </w:p>
    <w:p w14:paraId="0005BF0E" w14:textId="1F36F296" w:rsidR="000F6409" w:rsidRPr="000F6409" w:rsidRDefault="000F6409" w:rsidP="000F6409">
      <w:pPr>
        <w:autoSpaceDE w:val="0"/>
        <w:autoSpaceDN w:val="0"/>
        <w:adjustRightInd w:val="0"/>
        <w:spacing w:after="0" w:line="240" w:lineRule="auto"/>
        <w:rPr>
          <w:rFonts w:ascii="OpenSans" w:hAnsi="OpenSans" w:cs="OpenSans,Italic"/>
        </w:rPr>
      </w:pPr>
      <w:r w:rsidRPr="000F6409">
        <w:rPr>
          <w:rFonts w:ascii="OpenSans" w:hAnsi="OpenSans" w:cs="OpenSans,Italic"/>
        </w:rPr>
        <w:t>NRW:</w:t>
      </w:r>
    </w:p>
    <w:p w14:paraId="01290805" w14:textId="73E71FD8" w:rsidR="000F6409" w:rsidRDefault="000F6409" w:rsidP="000F6409">
      <w:pPr>
        <w:autoSpaceDE w:val="0"/>
        <w:autoSpaceDN w:val="0"/>
        <w:adjustRightInd w:val="0"/>
        <w:spacing w:after="0" w:line="240" w:lineRule="auto"/>
        <w:rPr>
          <w:rFonts w:ascii="OpenSans" w:hAnsi="OpenSans" w:cs="OpenSans,Italic"/>
        </w:rPr>
      </w:pPr>
      <w:r w:rsidRPr="000F6409">
        <w:rPr>
          <w:rFonts w:ascii="OpenSans" w:hAnsi="OpenSans" w:cs="OpenSans,Italic"/>
        </w:rPr>
        <w:t>Zustimmung zur Einbringung</w:t>
      </w:r>
      <w:r>
        <w:rPr>
          <w:rFonts w:ascii="OpenSans" w:hAnsi="OpenSans" w:cs="OpenSans,Italic"/>
        </w:rPr>
        <w:t>.</w:t>
      </w:r>
    </w:p>
    <w:p w14:paraId="04BDA5CC" w14:textId="7A8E2E31" w:rsidR="000F6409" w:rsidRDefault="000F6409" w:rsidP="000F6409">
      <w:pPr>
        <w:autoSpaceDE w:val="0"/>
        <w:autoSpaceDN w:val="0"/>
        <w:adjustRightInd w:val="0"/>
        <w:spacing w:after="0" w:line="240" w:lineRule="auto"/>
        <w:rPr>
          <w:rFonts w:ascii="OpenSans" w:hAnsi="OpenSans" w:cs="OpenSans,Italic"/>
        </w:rPr>
      </w:pPr>
    </w:p>
    <w:p w14:paraId="3B8EF8A6" w14:textId="6FF4651C" w:rsidR="000F6409" w:rsidRDefault="000F6409" w:rsidP="000F6409">
      <w:pPr>
        <w:autoSpaceDE w:val="0"/>
        <w:autoSpaceDN w:val="0"/>
        <w:adjustRightInd w:val="0"/>
        <w:spacing w:after="0" w:line="240" w:lineRule="auto"/>
        <w:rPr>
          <w:rFonts w:ascii="OpenSans" w:hAnsi="OpenSans" w:cs="OpenSans,Italic"/>
        </w:rPr>
      </w:pPr>
      <w:r>
        <w:rPr>
          <w:rFonts w:ascii="OpenSans" w:hAnsi="OpenSans" w:cs="OpenSans,Italic"/>
        </w:rPr>
        <w:t>Inhalt: s.o. BR-Plenarsitzung am 04.03.2026</w:t>
      </w:r>
    </w:p>
    <w:p w14:paraId="0DD7E1A7" w14:textId="77777777" w:rsidR="000F6409" w:rsidRPr="000F6409" w:rsidRDefault="000F6409" w:rsidP="000F6409">
      <w:pPr>
        <w:autoSpaceDE w:val="0"/>
        <w:autoSpaceDN w:val="0"/>
        <w:adjustRightInd w:val="0"/>
        <w:spacing w:after="0" w:line="240" w:lineRule="auto"/>
        <w:rPr>
          <w:rFonts w:ascii="OpenSans" w:hAnsi="OpenSans"/>
        </w:rPr>
      </w:pPr>
    </w:p>
    <w:p w14:paraId="6C26EF29" w14:textId="3B564246" w:rsidR="000F6409" w:rsidRDefault="000F6409" w:rsidP="000F6409">
      <w:pPr>
        <w:pBdr>
          <w:top w:val="single" w:sz="4" w:space="1" w:color="auto"/>
          <w:left w:val="single" w:sz="4" w:space="4" w:color="auto"/>
          <w:bottom w:val="single" w:sz="4" w:space="1" w:color="auto"/>
          <w:right w:val="single" w:sz="4" w:space="4" w:color="auto"/>
        </w:pBdr>
        <w:rPr>
          <w:rFonts w:ascii="OpenSans" w:hAnsi="OpenSans" w:cs="OpenSans"/>
          <w:b/>
          <w:bCs/>
        </w:rPr>
      </w:pPr>
      <w:r w:rsidRPr="000F6409">
        <w:rPr>
          <w:rFonts w:ascii="OpenSans" w:hAnsi="OpenSans" w:cs="OpenSans"/>
        </w:rPr>
        <w:t xml:space="preserve">Entwurf eines Gesetzes zur </w:t>
      </w:r>
      <w:r w:rsidRPr="000F6409">
        <w:rPr>
          <w:rFonts w:ascii="OpenSans" w:hAnsi="OpenSans" w:cs="OpenSans"/>
          <w:b/>
          <w:bCs/>
        </w:rPr>
        <w:t>Stärkung der</w:t>
      </w:r>
      <w:r w:rsidRPr="000F6409">
        <w:rPr>
          <w:rFonts w:ascii="OpenSans" w:hAnsi="OpenSans" w:cs="OpenSans"/>
          <w:b/>
          <w:bCs/>
        </w:rPr>
        <w:t xml:space="preserve"> </w:t>
      </w:r>
      <w:r w:rsidRPr="000F6409">
        <w:rPr>
          <w:rFonts w:ascii="OpenSans" w:hAnsi="OpenSans" w:cs="OpenSans"/>
          <w:b/>
          <w:bCs/>
        </w:rPr>
        <w:t>Vermögensabschöpfung bei Cum-/Ex-</w:t>
      </w:r>
      <w:r w:rsidRPr="000F6409">
        <w:rPr>
          <w:rFonts w:ascii="OpenSans" w:hAnsi="OpenSans" w:cs="OpenSans"/>
          <w:b/>
          <w:bCs/>
        </w:rPr>
        <w:t xml:space="preserve"> L</w:t>
      </w:r>
      <w:r w:rsidRPr="000F6409">
        <w:rPr>
          <w:rFonts w:ascii="OpenSans" w:hAnsi="OpenSans" w:cs="OpenSans"/>
          <w:b/>
          <w:bCs/>
        </w:rPr>
        <w:t>eerverkaufsgeschäften</w:t>
      </w:r>
      <w:r w:rsidRPr="000F6409">
        <w:rPr>
          <w:rFonts w:ascii="OpenSans" w:hAnsi="OpenSans" w:cs="OpenSans"/>
          <w:b/>
          <w:bCs/>
        </w:rPr>
        <w:t xml:space="preserve"> </w:t>
      </w:r>
      <w:r w:rsidRPr="000F6409">
        <w:rPr>
          <w:rFonts w:ascii="OpenSans" w:hAnsi="OpenSans" w:cs="OpenSans"/>
          <w:b/>
          <w:bCs/>
        </w:rPr>
        <w:t>sowie bei Einziehungsbeteiligten</w:t>
      </w:r>
    </w:p>
    <w:p w14:paraId="77394162" w14:textId="787743EF" w:rsidR="000F6409" w:rsidRPr="000F6409" w:rsidRDefault="000F6409" w:rsidP="000F6409">
      <w:pPr>
        <w:pBdr>
          <w:top w:val="single" w:sz="4" w:space="1" w:color="auto"/>
          <w:left w:val="single" w:sz="4" w:space="4" w:color="auto"/>
          <w:bottom w:val="single" w:sz="4" w:space="1" w:color="auto"/>
          <w:right w:val="single" w:sz="4" w:space="4" w:color="auto"/>
        </w:pBdr>
        <w:rPr>
          <w:rFonts w:ascii="OpenSans" w:hAnsi="OpenSans" w:cs="OpenSans"/>
        </w:rPr>
      </w:pPr>
      <w:r w:rsidRPr="000F6409">
        <w:rPr>
          <w:rFonts w:ascii="OpenSans" w:hAnsi="OpenSans" w:cs="OpenSans"/>
        </w:rPr>
        <w:t>Antrag HE</w:t>
      </w:r>
    </w:p>
    <w:p w14:paraId="08455C1F" w14:textId="2971C6E9" w:rsidR="000F6409" w:rsidRDefault="000F6409" w:rsidP="000F6409">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sidR="006C7EB6">
        <w:rPr>
          <w:rFonts w:cstheme="minorHAnsi"/>
          <w:color w:val="000000" w:themeColor="text1"/>
        </w:rPr>
        <w:t>134</w:t>
      </w:r>
      <w:r>
        <w:rPr>
          <w:rFonts w:cstheme="minorHAnsi"/>
          <w:color w:val="000000" w:themeColor="text1"/>
        </w:rPr>
        <w:t>/26</w:t>
      </w:r>
    </w:p>
    <w:p w14:paraId="1AE3F3B2" w14:textId="2FFF406F" w:rsidR="000F6409" w:rsidRPr="006C7EB6" w:rsidRDefault="000F6409" w:rsidP="000F6409">
      <w:pPr>
        <w:autoSpaceDE w:val="0"/>
        <w:autoSpaceDN w:val="0"/>
        <w:adjustRightInd w:val="0"/>
        <w:spacing w:after="0" w:line="240" w:lineRule="auto"/>
        <w:rPr>
          <w:rFonts w:ascii="OpenSans" w:hAnsi="OpenSans" w:cs="OpenSans"/>
        </w:rPr>
      </w:pPr>
      <w:r w:rsidRPr="006C7EB6">
        <w:rPr>
          <w:rFonts w:ascii="OpenSans" w:hAnsi="OpenSans" w:cs="OpenSans"/>
        </w:rPr>
        <w:t xml:space="preserve">Der Gesetzentwurf wurde in die Ausschüsse (R – </w:t>
      </w:r>
      <w:proofErr w:type="spellStart"/>
      <w:r w:rsidRPr="006C7EB6">
        <w:rPr>
          <w:rFonts w:ascii="OpenSans" w:hAnsi="OpenSans" w:cs="OpenSans"/>
        </w:rPr>
        <w:t>Fz</w:t>
      </w:r>
      <w:proofErr w:type="spellEnd"/>
      <w:r w:rsidRPr="006C7EB6">
        <w:rPr>
          <w:rFonts w:ascii="OpenSans" w:hAnsi="OpenSans" w:cs="OpenSans"/>
        </w:rPr>
        <w:t>)</w:t>
      </w:r>
      <w:r w:rsidRPr="006C7EB6">
        <w:rPr>
          <w:rFonts w:ascii="OpenSans" w:hAnsi="OpenSans" w:cs="OpenSans"/>
        </w:rPr>
        <w:t xml:space="preserve"> </w:t>
      </w:r>
      <w:r w:rsidRPr="006C7EB6">
        <w:rPr>
          <w:rFonts w:ascii="OpenSans" w:hAnsi="OpenSans" w:cs="OpenSans"/>
        </w:rPr>
        <w:t>überwiesen.</w:t>
      </w:r>
    </w:p>
    <w:p w14:paraId="6E57A874" w14:textId="33E66AF2" w:rsidR="00AC100B" w:rsidRPr="006C7EB6" w:rsidRDefault="00AC100B" w:rsidP="000F6409">
      <w:pPr>
        <w:autoSpaceDE w:val="0"/>
        <w:autoSpaceDN w:val="0"/>
        <w:adjustRightInd w:val="0"/>
        <w:spacing w:after="0" w:line="240" w:lineRule="auto"/>
        <w:rPr>
          <w:rFonts w:ascii="OpenSans" w:hAnsi="OpenSans" w:cs="OpenSans"/>
        </w:rPr>
      </w:pPr>
    </w:p>
    <w:p w14:paraId="29A182AF" w14:textId="496F992A" w:rsidR="00AC100B" w:rsidRPr="006C7EB6" w:rsidRDefault="00AC100B" w:rsidP="00AC100B">
      <w:pPr>
        <w:rPr>
          <w:rFonts w:ascii="OpenSans" w:eastAsia="OpenSans" w:hAnsi="OpenSans" w:cs="Open Sans"/>
        </w:rPr>
      </w:pPr>
      <w:r w:rsidRPr="006C7EB6">
        <w:rPr>
          <w:rFonts w:ascii="OpenSans" w:eastAsia="OpenSans" w:hAnsi="OpenSans" w:cs="Open Sans" w:hint="eastAsia"/>
        </w:rPr>
        <w:t xml:space="preserve">Mit dem GE soll die </w:t>
      </w:r>
      <w:r w:rsidRPr="006C7EB6">
        <w:rPr>
          <w:rFonts w:ascii="OpenSans" w:eastAsia="OpenSans" w:hAnsi="OpenSans" w:cs="Open Sans" w:hint="eastAsia"/>
          <w:b/>
          <w:bCs/>
        </w:rPr>
        <w:t>Vermögensabschöpfung</w:t>
      </w:r>
      <w:r w:rsidRPr="006C7EB6">
        <w:rPr>
          <w:rFonts w:ascii="OpenSans" w:eastAsia="OpenSans" w:hAnsi="OpenSans" w:cs="Open Sans" w:hint="eastAsia"/>
        </w:rPr>
        <w:t xml:space="preserve"> bei </w:t>
      </w:r>
      <w:r w:rsidRPr="006C7EB6">
        <w:rPr>
          <w:rFonts w:ascii="OpenSans" w:eastAsia="OpenSans" w:hAnsi="OpenSans" w:cs="Open Sans" w:hint="eastAsia"/>
          <w:b/>
          <w:bCs/>
        </w:rPr>
        <w:t>Cum-/Ex-Leerverkaufsgeschäften</w:t>
      </w:r>
      <w:r w:rsidRPr="006C7EB6">
        <w:rPr>
          <w:rFonts w:ascii="OpenSans" w:eastAsia="OpenSans" w:hAnsi="OpenSans" w:cs="Open Sans" w:hint="eastAsia"/>
        </w:rPr>
        <w:t xml:space="preserve"> sowie in weiteren Fällen der Drittbegünstigung verbessert werden. Nach der Begründung des Entwurfs bestehen bei § 73b Abs. 1 Satz 1 Nr. 1 StGB </w:t>
      </w:r>
      <w:r w:rsidRPr="006C7EB6">
        <w:rPr>
          <w:rFonts w:ascii="OpenSans" w:eastAsia="OpenSans" w:hAnsi="OpenSans" w:cs="Open Sans" w:hint="eastAsia"/>
          <w:b/>
          <w:bCs/>
        </w:rPr>
        <w:t>Auslegungsunsicherheiten</w:t>
      </w:r>
      <w:r w:rsidRPr="006C7EB6">
        <w:rPr>
          <w:rFonts w:ascii="OpenSans" w:eastAsia="OpenSans" w:hAnsi="OpenSans" w:cs="Open Sans" w:hint="eastAsia"/>
        </w:rPr>
        <w:t xml:space="preserve">, ob eine Einziehung bei Dritten auch dann möglich ist, wenn diese </w:t>
      </w:r>
      <w:r w:rsidRPr="006C7EB6">
        <w:rPr>
          <w:rFonts w:ascii="OpenSans" w:eastAsia="OpenSans" w:hAnsi="OpenSans" w:cs="Open Sans" w:hint="eastAsia"/>
          <w:b/>
          <w:bCs/>
        </w:rPr>
        <w:t>Vermögenswerte nicht „durch“, sondern „</w:t>
      </w:r>
      <w:r w:rsidRPr="006C7EB6">
        <w:rPr>
          <w:rFonts w:ascii="OpenSans" w:eastAsia="OpenSans" w:hAnsi="OpenSans" w:cs="Open Sans"/>
          <w:b/>
          <w:bCs/>
        </w:rPr>
        <w:t>für“</w:t>
      </w:r>
      <w:r w:rsidRPr="006C7EB6">
        <w:rPr>
          <w:rFonts w:ascii="OpenSans" w:eastAsia="OpenSans" w:hAnsi="OpenSans" w:cs="Open Sans" w:hint="eastAsia"/>
          <w:b/>
          <w:bCs/>
        </w:rPr>
        <w:t xml:space="preserve"> die Tat erlangt haben</w:t>
      </w:r>
      <w:r w:rsidRPr="006C7EB6">
        <w:rPr>
          <w:rFonts w:ascii="OpenSans" w:eastAsia="OpenSans" w:hAnsi="OpenSans" w:cs="Open Sans" w:hint="eastAsia"/>
        </w:rPr>
        <w:t xml:space="preserve">. Dies betreffe insbesondere sog. Vorkasse-Fälle auf Leerverkäuferseite bei Cum-/Ex-Geschäften. Zur Klarstellung solle die Vorschrift daher </w:t>
      </w:r>
      <w:r w:rsidRPr="006C7EB6">
        <w:rPr>
          <w:rFonts w:ascii="OpenSans" w:eastAsia="OpenSans" w:hAnsi="OpenSans" w:cs="Open Sans" w:hint="eastAsia"/>
          <w:b/>
          <w:bCs/>
        </w:rPr>
        <w:t>um die Worte „oder fü</w:t>
      </w:r>
      <w:r w:rsidRPr="006C7EB6">
        <w:rPr>
          <w:rFonts w:ascii="OpenSans" w:eastAsia="OpenSans" w:hAnsi="OpenSans" w:cs="Open Sans"/>
          <w:b/>
          <w:bCs/>
        </w:rPr>
        <w:t>r“</w:t>
      </w:r>
      <w:r w:rsidRPr="006C7EB6">
        <w:rPr>
          <w:rFonts w:ascii="OpenSans" w:eastAsia="OpenSans" w:hAnsi="OpenSans" w:cs="Open Sans" w:hint="eastAsia"/>
          <w:b/>
          <w:bCs/>
        </w:rPr>
        <w:t xml:space="preserve"> ergänzt werden</w:t>
      </w:r>
      <w:r w:rsidRPr="006C7EB6">
        <w:rPr>
          <w:rFonts w:ascii="OpenSans" w:eastAsia="OpenSans" w:hAnsi="OpenSans" w:cs="Open Sans" w:hint="eastAsia"/>
        </w:rPr>
        <w:t>. Flankierend ist eine Übergangsvorschrift vorgesehen, wonach die Neuregelung auch auf noch nicht verjährte Altfälle Anwendung finden soll.</w:t>
      </w:r>
    </w:p>
    <w:p w14:paraId="5953BCA5" w14:textId="43FEC67C" w:rsidR="006C7EB6" w:rsidRPr="00AC100B" w:rsidRDefault="006C7EB6" w:rsidP="00AC100B">
      <w:pPr>
        <w:rPr>
          <w:rFonts w:ascii="OpenSans" w:eastAsia="OpenSans" w:hAnsi="Open Sans" w:cs="Open Sans"/>
        </w:rPr>
      </w:pPr>
      <w:r>
        <w:rPr>
          <w:rFonts w:ascii="OpenSans" w:eastAsia="OpenSans" w:hAnsi="Open Sans" w:cs="Open Sans"/>
        </w:rPr>
        <w:t xml:space="preserve">Link: </w:t>
      </w:r>
      <w:hyperlink r:id="rId20" w:tgtFrame="_blank" w:history="1">
        <w:r>
          <w:rPr>
            <w:rStyle w:val="Hyperlink"/>
          </w:rPr>
          <w:t>https://www.bundesrat.de/bv.html?id=0134-26</w:t>
        </w:r>
      </w:hyperlink>
    </w:p>
    <w:p w14:paraId="32917C63" w14:textId="125DB0A5" w:rsidR="00822010" w:rsidRDefault="00822010" w:rsidP="000F6409">
      <w:pPr>
        <w:autoSpaceDE w:val="0"/>
        <w:autoSpaceDN w:val="0"/>
        <w:adjustRightInd w:val="0"/>
        <w:spacing w:after="0" w:line="240" w:lineRule="auto"/>
        <w:rPr>
          <w:rFonts w:ascii="OpenSans" w:hAnsi="OpenSans" w:cs="OpenSans"/>
        </w:rPr>
      </w:pPr>
    </w:p>
    <w:p w14:paraId="6ACA75E8" w14:textId="77777777" w:rsidR="00822010" w:rsidRDefault="00822010" w:rsidP="00822010">
      <w:pPr>
        <w:pBdr>
          <w:top w:val="single" w:sz="4" w:space="1" w:color="auto"/>
          <w:left w:val="single" w:sz="4" w:space="4" w:color="auto"/>
          <w:bottom w:val="single" w:sz="4" w:space="1" w:color="auto"/>
          <w:right w:val="single" w:sz="4" w:space="4" w:color="auto"/>
        </w:pBdr>
        <w:rPr>
          <w:rFonts w:ascii="OpenSans" w:hAnsi="OpenSans" w:cs="OpenSans"/>
        </w:rPr>
      </w:pPr>
      <w:r w:rsidRPr="004860C7">
        <w:rPr>
          <w:rFonts w:ascii="OpenSans" w:hAnsi="OpenSans" w:cs="OpenSans"/>
        </w:rPr>
        <w:t xml:space="preserve">Entschließung des Bundesrates </w:t>
      </w:r>
      <w:r w:rsidRPr="004860C7">
        <w:rPr>
          <w:rFonts w:ascii="OpenSans" w:hAnsi="OpenSans" w:cs="OpenSans"/>
          <w:b/>
          <w:bCs/>
        </w:rPr>
        <w:t>"Ganzheitliches Konzept gegen häusliche Gewalt - Lücken im familiengerichtlichen Verfahrensrecht schließen"</w:t>
      </w:r>
    </w:p>
    <w:p w14:paraId="741A2869" w14:textId="77777777" w:rsidR="00822010" w:rsidRPr="004860C7" w:rsidRDefault="00822010" w:rsidP="00822010">
      <w:pPr>
        <w:pBdr>
          <w:top w:val="single" w:sz="4" w:space="1" w:color="auto"/>
          <w:left w:val="single" w:sz="4" w:space="4" w:color="auto"/>
          <w:bottom w:val="single" w:sz="4" w:space="1" w:color="auto"/>
          <w:right w:val="single" w:sz="4" w:space="4" w:color="auto"/>
        </w:pBdr>
        <w:rPr>
          <w:rFonts w:ascii="OpenSans" w:hAnsi="OpenSans" w:cs="OpenSans"/>
        </w:rPr>
      </w:pPr>
      <w:r w:rsidRPr="004860C7">
        <w:rPr>
          <w:rFonts w:ascii="OpenSans" w:hAnsi="OpenSans" w:cs="OpenSans"/>
        </w:rPr>
        <w:t xml:space="preserve">Antrag </w:t>
      </w:r>
      <w:r>
        <w:rPr>
          <w:rFonts w:ascii="OpenSans" w:hAnsi="OpenSans" w:cs="OpenSans"/>
        </w:rPr>
        <w:t>HE</w:t>
      </w:r>
    </w:p>
    <w:p w14:paraId="2A8D29F9" w14:textId="77777777" w:rsidR="00822010" w:rsidRDefault="00822010" w:rsidP="00822010">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105/26</w:t>
      </w:r>
    </w:p>
    <w:p w14:paraId="1FF2E5A8" w14:textId="0443619D" w:rsidR="00822010" w:rsidRDefault="00822010" w:rsidP="00822010">
      <w:pPr>
        <w:autoSpaceDE w:val="0"/>
        <w:autoSpaceDN w:val="0"/>
        <w:adjustRightInd w:val="0"/>
        <w:spacing w:after="0" w:line="240" w:lineRule="auto"/>
        <w:rPr>
          <w:rFonts w:ascii="OpenSans" w:hAnsi="OpenSans" w:cs="OpenSans"/>
        </w:rPr>
      </w:pPr>
      <w:r w:rsidRPr="00822010">
        <w:rPr>
          <w:rFonts w:ascii="OpenSans" w:hAnsi="OpenSans" w:cs="OpenSans"/>
        </w:rPr>
        <w:t>Der Bundesrat fasste die Entschließung.</w:t>
      </w:r>
    </w:p>
    <w:p w14:paraId="28047BB5" w14:textId="77777777" w:rsidR="00822010" w:rsidRPr="00822010" w:rsidRDefault="00822010" w:rsidP="00822010">
      <w:pPr>
        <w:autoSpaceDE w:val="0"/>
        <w:autoSpaceDN w:val="0"/>
        <w:adjustRightInd w:val="0"/>
        <w:spacing w:after="0" w:line="240" w:lineRule="auto"/>
        <w:rPr>
          <w:rFonts w:ascii="OpenSans" w:hAnsi="OpenSans" w:cs="OpenSans"/>
        </w:rPr>
      </w:pPr>
    </w:p>
    <w:p w14:paraId="5F41E7D9" w14:textId="7B88CCBD" w:rsidR="00822010" w:rsidRPr="00822010" w:rsidRDefault="00822010" w:rsidP="00822010">
      <w:pPr>
        <w:autoSpaceDE w:val="0"/>
        <w:autoSpaceDN w:val="0"/>
        <w:adjustRightInd w:val="0"/>
        <w:spacing w:after="0" w:line="240" w:lineRule="auto"/>
        <w:rPr>
          <w:rFonts w:ascii="OpenSans" w:hAnsi="OpenSans" w:cs="OpenSans"/>
        </w:rPr>
      </w:pPr>
      <w:r w:rsidRPr="00822010">
        <w:rPr>
          <w:rFonts w:ascii="OpenSans" w:hAnsi="OpenSans" w:cs="OpenSans"/>
        </w:rPr>
        <w:t>NRW:</w:t>
      </w:r>
      <w:r>
        <w:rPr>
          <w:rFonts w:ascii="OpenSans" w:hAnsi="OpenSans" w:cs="OpenSans"/>
        </w:rPr>
        <w:t xml:space="preserve"> </w:t>
      </w:r>
      <w:r w:rsidRPr="00822010">
        <w:rPr>
          <w:rFonts w:ascii="OpenSans" w:hAnsi="OpenSans" w:cs="OpenSans"/>
        </w:rPr>
        <w:t>Zustimmung zum Fassen der Entschließung.</w:t>
      </w:r>
    </w:p>
    <w:p w14:paraId="2F4E52C7" w14:textId="003DA3C0" w:rsidR="00822010" w:rsidRDefault="00822010" w:rsidP="00822010">
      <w:pPr>
        <w:autoSpaceDE w:val="0"/>
        <w:autoSpaceDN w:val="0"/>
        <w:adjustRightInd w:val="0"/>
        <w:spacing w:after="0" w:line="240" w:lineRule="auto"/>
        <w:rPr>
          <w:rFonts w:ascii="OpenSans" w:hAnsi="OpenSans" w:cs="OpenSans"/>
        </w:rPr>
      </w:pPr>
      <w:r w:rsidRPr="00822010">
        <w:rPr>
          <w:rFonts w:ascii="OpenSans" w:hAnsi="OpenSans" w:cs="OpenSans"/>
        </w:rPr>
        <w:t>Beitritt zur Entschließung.</w:t>
      </w:r>
    </w:p>
    <w:p w14:paraId="57BFB206" w14:textId="77777777" w:rsidR="00822010" w:rsidRDefault="00822010" w:rsidP="00822010">
      <w:pPr>
        <w:autoSpaceDE w:val="0"/>
        <w:autoSpaceDN w:val="0"/>
        <w:adjustRightInd w:val="0"/>
        <w:spacing w:after="0" w:line="240" w:lineRule="auto"/>
        <w:rPr>
          <w:rFonts w:ascii="OpenSans" w:hAnsi="OpenSans" w:cs="OpenSans"/>
        </w:rPr>
      </w:pPr>
    </w:p>
    <w:p w14:paraId="40DFDE0D" w14:textId="77777777" w:rsidR="00822010" w:rsidRDefault="00822010" w:rsidP="00822010">
      <w:pPr>
        <w:autoSpaceDE w:val="0"/>
        <w:autoSpaceDN w:val="0"/>
        <w:adjustRightInd w:val="0"/>
        <w:spacing w:after="0" w:line="240" w:lineRule="auto"/>
        <w:rPr>
          <w:rFonts w:ascii="OpenSans" w:hAnsi="OpenSans" w:cs="OpenSans,Italic"/>
        </w:rPr>
      </w:pPr>
      <w:r>
        <w:rPr>
          <w:rFonts w:ascii="OpenSans" w:hAnsi="OpenSans" w:cs="OpenSans,Italic"/>
        </w:rPr>
        <w:t>Inhalt: s.o. BR-Plenarsitzung am 04.03.2026</w:t>
      </w:r>
    </w:p>
    <w:p w14:paraId="7F03C521" w14:textId="3CE9F9E7" w:rsidR="000F6409" w:rsidRDefault="000F6409" w:rsidP="000F6409">
      <w:pPr>
        <w:autoSpaceDE w:val="0"/>
        <w:autoSpaceDN w:val="0"/>
        <w:adjustRightInd w:val="0"/>
        <w:spacing w:after="0" w:line="240" w:lineRule="auto"/>
        <w:rPr>
          <w:rFonts w:ascii="OpenSans" w:hAnsi="OpenSans" w:cs="OpenSans"/>
        </w:rPr>
      </w:pPr>
    </w:p>
    <w:p w14:paraId="7724E81C" w14:textId="77777777" w:rsidR="00822010" w:rsidRDefault="00822010" w:rsidP="000F6409">
      <w:pPr>
        <w:autoSpaceDE w:val="0"/>
        <w:autoSpaceDN w:val="0"/>
        <w:adjustRightInd w:val="0"/>
        <w:spacing w:after="0" w:line="240" w:lineRule="auto"/>
      </w:pPr>
    </w:p>
    <w:p w14:paraId="0CB2B1BA" w14:textId="32C97D39" w:rsidR="00822010" w:rsidRDefault="00822010" w:rsidP="00822010">
      <w:pPr>
        <w:pBdr>
          <w:top w:val="single" w:sz="4" w:space="1" w:color="auto"/>
          <w:left w:val="single" w:sz="4" w:space="4" w:color="auto"/>
          <w:bottom w:val="single" w:sz="4" w:space="1" w:color="auto"/>
          <w:right w:val="single" w:sz="4" w:space="4" w:color="auto"/>
        </w:pBdr>
        <w:rPr>
          <w:rFonts w:ascii="OpenSans" w:hAnsi="OpenSans" w:cs="OpenSans"/>
        </w:rPr>
      </w:pPr>
      <w:r w:rsidRPr="00822010">
        <w:rPr>
          <w:rFonts w:ascii="OpenSans" w:hAnsi="OpenSans" w:cs="OpenSans"/>
        </w:rPr>
        <w:t xml:space="preserve">Entschließung des Bundesrates </w:t>
      </w:r>
      <w:r w:rsidRPr="00822010">
        <w:rPr>
          <w:rFonts w:ascii="OpenSans" w:hAnsi="OpenSans" w:cs="OpenSans"/>
          <w:b/>
          <w:bCs/>
        </w:rPr>
        <w:t>"Mehr Rechtssicherheit</w:t>
      </w:r>
      <w:r w:rsidRPr="00822010">
        <w:rPr>
          <w:rFonts w:ascii="OpenSans" w:hAnsi="OpenSans" w:cs="OpenSans"/>
          <w:b/>
          <w:bCs/>
        </w:rPr>
        <w:t xml:space="preserve"> </w:t>
      </w:r>
      <w:r w:rsidRPr="00822010">
        <w:rPr>
          <w:rFonts w:ascii="OpenSans" w:hAnsi="OpenSans" w:cs="OpenSans"/>
          <w:b/>
          <w:bCs/>
        </w:rPr>
        <w:t>bei Untervermietungen"</w:t>
      </w:r>
    </w:p>
    <w:p w14:paraId="23A7DB9A" w14:textId="41E89ACD" w:rsidR="00822010" w:rsidRDefault="00822010" w:rsidP="00822010">
      <w:pPr>
        <w:pBdr>
          <w:top w:val="single" w:sz="4" w:space="1" w:color="auto"/>
          <w:left w:val="single" w:sz="4" w:space="4" w:color="auto"/>
          <w:bottom w:val="single" w:sz="4" w:space="1" w:color="auto"/>
          <w:right w:val="single" w:sz="4" w:space="4" w:color="auto"/>
        </w:pBdr>
        <w:rPr>
          <w:rFonts w:ascii="OpenSans" w:hAnsi="OpenSans" w:cs="OpenSans"/>
        </w:rPr>
      </w:pPr>
      <w:r>
        <w:rPr>
          <w:rFonts w:ascii="OpenSans" w:hAnsi="OpenSans" w:cs="OpenSans"/>
        </w:rPr>
        <w:t>Antrag HE</w:t>
      </w:r>
    </w:p>
    <w:p w14:paraId="48D32F1B" w14:textId="160E5FDD" w:rsidR="000F6409" w:rsidRDefault="000F6409" w:rsidP="00822010">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sidR="00822010">
        <w:rPr>
          <w:rFonts w:cstheme="minorHAnsi"/>
          <w:color w:val="000000" w:themeColor="text1"/>
        </w:rPr>
        <w:t>141</w:t>
      </w:r>
      <w:r>
        <w:rPr>
          <w:rFonts w:cstheme="minorHAnsi"/>
          <w:color w:val="000000" w:themeColor="text1"/>
        </w:rPr>
        <w:t>/26</w:t>
      </w:r>
    </w:p>
    <w:p w14:paraId="5957CA4F" w14:textId="5C1B95C3" w:rsidR="000F6409" w:rsidRDefault="00822010" w:rsidP="00822010">
      <w:r>
        <w:t>Die Entschließung wurde in die Ausschüsse (R – Wo)</w:t>
      </w:r>
      <w:r>
        <w:t xml:space="preserve"> </w:t>
      </w:r>
      <w:r>
        <w:t>überwiesen.</w:t>
      </w:r>
    </w:p>
    <w:p w14:paraId="01C25FBD" w14:textId="26F9AC56" w:rsidR="00AC100B" w:rsidRPr="00AC100B" w:rsidRDefault="00AC100B" w:rsidP="00AC100B">
      <w:pPr>
        <w:rPr>
          <w:rFonts w:ascii="OpenSans" w:eastAsia="OpenSans" w:hAnsi="Open Sans" w:cs="Open Sans" w:hint="eastAsia"/>
        </w:rPr>
      </w:pPr>
      <w:r w:rsidRPr="00AC100B">
        <w:rPr>
          <w:rFonts w:ascii="OpenSans" w:eastAsia="OpenSans" w:hAnsi="Open Sans" w:cs="Open Sans" w:hint="eastAsia"/>
        </w:rPr>
        <w:t>Die Entschlie</w:t>
      </w:r>
      <w:r w:rsidRPr="00AC100B">
        <w:rPr>
          <w:rFonts w:ascii="OpenSans" w:eastAsia="OpenSans" w:hAnsi="Open Sans" w:cs="Open Sans" w:hint="eastAsia"/>
        </w:rPr>
        <w:t>ß</w:t>
      </w:r>
      <w:r w:rsidRPr="00AC100B">
        <w:rPr>
          <w:rFonts w:ascii="OpenSans" w:eastAsia="OpenSans" w:hAnsi="Open Sans" w:cs="Open Sans" w:hint="eastAsia"/>
        </w:rPr>
        <w:t xml:space="preserve">ung befasst sich mit dem </w:t>
      </w:r>
      <w:r w:rsidRPr="00AC100B">
        <w:rPr>
          <w:rFonts w:ascii="OpenSans" w:eastAsia="OpenSans" w:hAnsi="Open Sans" w:cs="Open Sans" w:hint="eastAsia"/>
          <w:b/>
          <w:bCs/>
        </w:rPr>
        <w:t>Anliegen, mehr Rechtssicherheit bei Untervermietungen zu schaffen</w:t>
      </w:r>
      <w:r w:rsidRPr="00AC100B">
        <w:rPr>
          <w:rFonts w:ascii="OpenSans" w:eastAsia="OpenSans" w:hAnsi="Open Sans" w:cs="Open Sans" w:hint="eastAsia"/>
        </w:rPr>
        <w:t>. Untervermietungen seien gerade in Gebieten mit angespannten Wohnungsm</w:t>
      </w:r>
      <w:r w:rsidRPr="00AC100B">
        <w:rPr>
          <w:rFonts w:ascii="OpenSans" w:eastAsia="OpenSans" w:hAnsi="Open Sans" w:cs="Open Sans" w:hint="eastAsia"/>
        </w:rPr>
        <w:t>ä</w:t>
      </w:r>
      <w:r w:rsidRPr="00AC100B">
        <w:rPr>
          <w:rFonts w:ascii="OpenSans" w:eastAsia="OpenSans" w:hAnsi="Open Sans" w:cs="Open Sans" w:hint="eastAsia"/>
        </w:rPr>
        <w:t xml:space="preserve">rkten von erheblicher praktischer Bedeutung. Zugleich werden </w:t>
      </w:r>
      <w:r w:rsidRPr="00AC100B">
        <w:rPr>
          <w:rFonts w:ascii="OpenSans" w:eastAsia="OpenSans" w:hAnsi="Open Sans" w:cs="Open Sans" w:hint="eastAsia"/>
          <w:b/>
          <w:bCs/>
        </w:rPr>
        <w:t>Missbrauchspotenziale</w:t>
      </w:r>
      <w:r w:rsidRPr="00AC100B">
        <w:rPr>
          <w:rFonts w:ascii="OpenSans" w:eastAsia="OpenSans" w:hAnsi="Open Sans" w:cs="Open Sans" w:hint="eastAsia"/>
        </w:rPr>
        <w:t xml:space="preserve"> und </w:t>
      </w:r>
      <w:r w:rsidRPr="00AC100B">
        <w:rPr>
          <w:rFonts w:ascii="OpenSans" w:eastAsia="OpenSans" w:hAnsi="Open Sans" w:cs="Open Sans" w:hint="eastAsia"/>
          <w:b/>
          <w:bCs/>
        </w:rPr>
        <w:t>Rechtsunsicherheiten</w:t>
      </w:r>
      <w:r w:rsidRPr="00AC100B">
        <w:rPr>
          <w:rFonts w:ascii="OpenSans" w:eastAsia="OpenSans" w:hAnsi="Open Sans" w:cs="Open Sans" w:hint="eastAsia"/>
        </w:rPr>
        <w:t xml:space="preserve"> gesehen, auch unter Bezug auf das Urteil des Bundesgerichtshofs vom 28. Januar 2026 (VIII ZR 228/23) zu gewinnbringenden Untervermietungen. Die BReg wird aufgefordert, </w:t>
      </w:r>
      <w:r w:rsidRPr="00AC100B">
        <w:rPr>
          <w:rFonts w:ascii="OpenSans" w:eastAsia="OpenSans" w:hAnsi="Open Sans" w:cs="Open Sans" w:hint="eastAsia"/>
          <w:b/>
          <w:bCs/>
        </w:rPr>
        <w:t>zeitnah einen GE mit Anpassungen der Regelungen zur Untervermietung</w:t>
      </w:r>
      <w:r w:rsidRPr="00AC100B">
        <w:rPr>
          <w:rFonts w:ascii="OpenSans" w:eastAsia="OpenSans" w:hAnsi="Open Sans" w:cs="Open Sans" w:hint="eastAsia"/>
        </w:rPr>
        <w:t xml:space="preserve"> vorzulegen, wobei Fragen </w:t>
      </w:r>
      <w:r w:rsidRPr="00AC100B">
        <w:rPr>
          <w:rFonts w:ascii="OpenSans" w:eastAsia="OpenSans" w:hAnsi="Open Sans" w:cs="Open Sans" w:hint="eastAsia"/>
        </w:rPr>
        <w:lastRenderedPageBreak/>
        <w:t>der m</w:t>
      </w:r>
      <w:r w:rsidRPr="00AC100B">
        <w:rPr>
          <w:rFonts w:ascii="OpenSans" w:eastAsia="OpenSans" w:hAnsi="Open Sans" w:cs="Open Sans" w:hint="eastAsia"/>
        </w:rPr>
        <w:t>ö</w:t>
      </w:r>
      <w:r w:rsidRPr="00AC100B">
        <w:rPr>
          <w:rFonts w:ascii="OpenSans" w:eastAsia="OpenSans" w:hAnsi="Open Sans" w:cs="Open Sans" w:hint="eastAsia"/>
        </w:rPr>
        <w:t>blierten Untervermietung sowie von Eintritts- und Sonderk</w:t>
      </w:r>
      <w:r w:rsidRPr="00AC100B">
        <w:rPr>
          <w:rFonts w:ascii="OpenSans" w:eastAsia="OpenSans" w:hAnsi="Open Sans" w:cs="Open Sans" w:hint="eastAsia"/>
        </w:rPr>
        <w:t>ü</w:t>
      </w:r>
      <w:r w:rsidRPr="00AC100B">
        <w:rPr>
          <w:rFonts w:ascii="OpenSans" w:eastAsia="OpenSans" w:hAnsi="Open Sans" w:cs="Open Sans" w:hint="eastAsia"/>
        </w:rPr>
        <w:t>ndigungsrechten der Untermietpartei in den Blick zu nehmen seien.</w:t>
      </w:r>
    </w:p>
    <w:p w14:paraId="5423C3CD" w14:textId="053538C0" w:rsidR="00AC100B" w:rsidRPr="00AC100B" w:rsidRDefault="00AC100B" w:rsidP="00AC100B">
      <w:pPr>
        <w:rPr>
          <w:rFonts w:ascii="OpenSans" w:eastAsia="OpenSans" w:hAnsi="Open Sans" w:cs="Open Sans" w:hint="eastAsia"/>
        </w:rPr>
      </w:pPr>
      <w:r>
        <w:rPr>
          <w:rFonts w:ascii="OpenSans" w:eastAsia="OpenSans" w:hAnsi="Open Sans" w:cs="Open Sans"/>
        </w:rPr>
        <w:t>Gepr</w:t>
      </w:r>
      <w:r>
        <w:rPr>
          <w:rFonts w:ascii="OpenSans" w:eastAsia="OpenSans" w:hAnsi="Open Sans" w:cs="Open Sans"/>
        </w:rPr>
        <w:t>ü</w:t>
      </w:r>
      <w:r>
        <w:rPr>
          <w:rFonts w:ascii="OpenSans" w:eastAsia="OpenSans" w:hAnsi="Open Sans" w:cs="Open Sans"/>
        </w:rPr>
        <w:t>ft werden soll au</w:t>
      </w:r>
      <w:r>
        <w:rPr>
          <w:rFonts w:ascii="OpenSans" w:eastAsia="OpenSans" w:hAnsi="Open Sans" w:cs="Open Sans"/>
        </w:rPr>
        <w:t>ß</w:t>
      </w:r>
      <w:r>
        <w:rPr>
          <w:rFonts w:ascii="OpenSans" w:eastAsia="OpenSans" w:hAnsi="Open Sans" w:cs="Open Sans"/>
        </w:rPr>
        <w:t>erdem</w:t>
      </w:r>
      <w:r w:rsidRPr="00AC100B">
        <w:rPr>
          <w:rFonts w:ascii="OpenSans" w:eastAsia="OpenSans" w:hAnsi="Open Sans" w:cs="Open Sans" w:hint="eastAsia"/>
        </w:rPr>
        <w:t>:</w:t>
      </w:r>
    </w:p>
    <w:p w14:paraId="7B1B687C" w14:textId="77777777" w:rsidR="00AC100B" w:rsidRPr="00AC100B" w:rsidRDefault="00AC100B" w:rsidP="00AC100B">
      <w:pPr>
        <w:pStyle w:val="Listenabsatz"/>
        <w:numPr>
          <w:ilvl w:val="0"/>
          <w:numId w:val="40"/>
        </w:numPr>
        <w:spacing w:after="0" w:line="240" w:lineRule="auto"/>
        <w:rPr>
          <w:rFonts w:ascii="OpenSans" w:eastAsia="OpenSans" w:hAnsi="Open Sans" w:cs="Open Sans" w:hint="eastAsia"/>
        </w:rPr>
      </w:pPr>
      <w:r w:rsidRPr="00AC100B">
        <w:rPr>
          <w:rFonts w:ascii="OpenSans" w:eastAsia="OpenSans" w:hAnsi="Open Sans" w:cs="Open Sans" w:hint="eastAsia"/>
        </w:rPr>
        <w:t>Klarstellung bez</w:t>
      </w:r>
      <w:r w:rsidRPr="00AC100B">
        <w:rPr>
          <w:rFonts w:ascii="OpenSans" w:eastAsia="OpenSans" w:hAnsi="Open Sans" w:cs="Open Sans" w:hint="eastAsia"/>
        </w:rPr>
        <w:t>ü</w:t>
      </w:r>
      <w:r w:rsidRPr="00AC100B">
        <w:rPr>
          <w:rFonts w:ascii="OpenSans" w:eastAsia="OpenSans" w:hAnsi="Open Sans" w:cs="Open Sans" w:hint="eastAsia"/>
        </w:rPr>
        <w:t>glich berechtigen Interesses an einer Untervermietung,</w:t>
      </w:r>
    </w:p>
    <w:p w14:paraId="65845528" w14:textId="77777777" w:rsidR="00AC100B" w:rsidRPr="00AC100B" w:rsidRDefault="00AC100B" w:rsidP="00AC100B">
      <w:pPr>
        <w:pStyle w:val="Listenabsatz"/>
        <w:numPr>
          <w:ilvl w:val="0"/>
          <w:numId w:val="40"/>
        </w:numPr>
        <w:spacing w:after="0" w:line="240" w:lineRule="auto"/>
        <w:rPr>
          <w:rFonts w:ascii="OpenSans" w:eastAsia="OpenSans" w:hAnsi="Open Sans" w:cs="Open Sans" w:hint="eastAsia"/>
        </w:rPr>
      </w:pPr>
      <w:r w:rsidRPr="00AC100B">
        <w:rPr>
          <w:rFonts w:ascii="OpenSans" w:eastAsia="OpenSans" w:hAnsi="Open Sans" w:cs="Open Sans" w:hint="eastAsia"/>
        </w:rPr>
        <w:t>gesetzliche Auskunftsrechte der Vermieterseite,</w:t>
      </w:r>
    </w:p>
    <w:p w14:paraId="20C3BFF7" w14:textId="77777777" w:rsidR="00AC100B" w:rsidRPr="00AC100B" w:rsidRDefault="00AC100B" w:rsidP="00AC100B">
      <w:pPr>
        <w:pStyle w:val="Listenabsatz"/>
        <w:numPr>
          <w:ilvl w:val="0"/>
          <w:numId w:val="40"/>
        </w:numPr>
        <w:spacing w:after="0" w:line="240" w:lineRule="auto"/>
        <w:rPr>
          <w:rFonts w:ascii="OpenSans" w:eastAsia="OpenSans" w:hAnsi="Open Sans" w:cs="Open Sans" w:hint="eastAsia"/>
        </w:rPr>
      </w:pPr>
      <w:r w:rsidRPr="00AC100B">
        <w:rPr>
          <w:rFonts w:ascii="OpenSans" w:eastAsia="OpenSans" w:hAnsi="Open Sans" w:cs="Open Sans" w:hint="eastAsia"/>
        </w:rPr>
        <w:t>klarere Regelungen zum Untermietzuschlag,</w:t>
      </w:r>
    </w:p>
    <w:p w14:paraId="2071A1D8" w14:textId="7814C470" w:rsidR="00AC100B" w:rsidRDefault="00AC100B" w:rsidP="00AC100B">
      <w:pPr>
        <w:pStyle w:val="Listenabsatz"/>
        <w:numPr>
          <w:ilvl w:val="0"/>
          <w:numId w:val="40"/>
        </w:numPr>
        <w:spacing w:after="0" w:line="240" w:lineRule="auto"/>
        <w:rPr>
          <w:rFonts w:ascii="OpenSans" w:eastAsia="OpenSans" w:hAnsi="Open Sans" w:cs="Open Sans"/>
        </w:rPr>
      </w:pPr>
      <w:r w:rsidRPr="00AC100B">
        <w:rPr>
          <w:rFonts w:ascii="OpenSans" w:eastAsia="OpenSans" w:hAnsi="Open Sans" w:cs="Open Sans" w:hint="eastAsia"/>
        </w:rPr>
        <w:t>Verbesserung des Schutzes der Untermieterseite bei K</w:t>
      </w:r>
      <w:r w:rsidRPr="00AC100B">
        <w:rPr>
          <w:rFonts w:ascii="OpenSans" w:eastAsia="OpenSans" w:hAnsi="Open Sans" w:cs="Open Sans" w:hint="eastAsia"/>
        </w:rPr>
        <w:t>ü</w:t>
      </w:r>
      <w:r w:rsidRPr="00AC100B">
        <w:rPr>
          <w:rFonts w:ascii="OpenSans" w:eastAsia="OpenSans" w:hAnsi="Open Sans" w:cs="Open Sans" w:hint="eastAsia"/>
        </w:rPr>
        <w:t>ndigung des Hauptmietvertrages wegen unzul</w:t>
      </w:r>
      <w:r w:rsidRPr="00AC100B">
        <w:rPr>
          <w:rFonts w:ascii="OpenSans" w:eastAsia="OpenSans" w:hAnsi="Open Sans" w:cs="Open Sans" w:hint="eastAsia"/>
        </w:rPr>
        <w:t>ä</w:t>
      </w:r>
      <w:r w:rsidRPr="00AC100B">
        <w:rPr>
          <w:rFonts w:ascii="OpenSans" w:eastAsia="OpenSans" w:hAnsi="Open Sans" w:cs="Open Sans" w:hint="eastAsia"/>
        </w:rPr>
        <w:t>ssiger gewinnbringender Untervermietung.</w:t>
      </w:r>
    </w:p>
    <w:p w14:paraId="4FC10655" w14:textId="77777777" w:rsidR="00AC100B" w:rsidRPr="00AC100B" w:rsidRDefault="00AC100B" w:rsidP="00AC100B">
      <w:pPr>
        <w:pStyle w:val="Listenabsatz"/>
        <w:spacing w:after="0" w:line="240" w:lineRule="auto"/>
        <w:rPr>
          <w:rFonts w:ascii="OpenSans" w:eastAsia="OpenSans" w:hAnsi="Open Sans" w:cs="Open Sans" w:hint="eastAsia"/>
        </w:rPr>
      </w:pPr>
    </w:p>
    <w:p w14:paraId="425AA44D" w14:textId="77777777" w:rsidR="00AC100B" w:rsidRPr="00AC100B" w:rsidRDefault="00AC100B" w:rsidP="00AC100B">
      <w:pPr>
        <w:rPr>
          <w:rFonts w:ascii="OpenSans" w:eastAsia="OpenSans" w:hAnsi="Open Sans" w:cs="Open Sans" w:hint="eastAsia"/>
        </w:rPr>
      </w:pPr>
      <w:r w:rsidRPr="00AC100B">
        <w:rPr>
          <w:rFonts w:ascii="OpenSans" w:eastAsia="OpenSans" w:hAnsi="Open Sans" w:cs="Open Sans" w:hint="eastAsia"/>
        </w:rPr>
        <w:t xml:space="preserve">Das </w:t>
      </w:r>
      <w:r w:rsidRPr="00AC100B">
        <w:rPr>
          <w:rFonts w:ascii="OpenSans" w:eastAsia="OpenSans" w:hAnsi="Open Sans" w:cs="Open Sans" w:hint="eastAsia"/>
          <w:b/>
          <w:bCs/>
        </w:rPr>
        <w:t xml:space="preserve">BMJV </w:t>
      </w:r>
      <w:r w:rsidRPr="00AC100B">
        <w:rPr>
          <w:rFonts w:ascii="OpenSans" w:eastAsia="OpenSans" w:hAnsi="Open Sans" w:cs="Open Sans" w:hint="eastAsia"/>
        </w:rPr>
        <w:t xml:space="preserve">hat Anfang Februar 2026 einen </w:t>
      </w:r>
      <w:r w:rsidRPr="00AC100B">
        <w:rPr>
          <w:rFonts w:ascii="OpenSans" w:eastAsia="OpenSans" w:hAnsi="Open Sans" w:cs="Open Sans" w:hint="eastAsia"/>
          <w:b/>
          <w:bCs/>
        </w:rPr>
        <w:t xml:space="preserve">Referentenentwurf zum Mietrecht </w:t>
      </w:r>
      <w:r w:rsidRPr="00AC100B">
        <w:rPr>
          <w:rFonts w:ascii="OpenSans" w:eastAsia="OpenSans" w:hAnsi="Open Sans" w:cs="Open Sans" w:hint="eastAsia"/>
        </w:rPr>
        <w:t xml:space="preserve">vorgelegt, der jedoch </w:t>
      </w:r>
      <w:r w:rsidRPr="00AC100B">
        <w:rPr>
          <w:rFonts w:ascii="OpenSans" w:eastAsia="OpenSans" w:hAnsi="Open Sans" w:cs="Open Sans" w:hint="eastAsia"/>
          <w:b/>
          <w:bCs/>
        </w:rPr>
        <w:t>keine Anpassungen bez</w:t>
      </w:r>
      <w:r w:rsidRPr="00AC100B">
        <w:rPr>
          <w:rFonts w:ascii="OpenSans" w:eastAsia="OpenSans" w:hAnsi="Open Sans" w:cs="Open Sans" w:hint="eastAsia"/>
          <w:b/>
          <w:bCs/>
        </w:rPr>
        <w:t>ü</w:t>
      </w:r>
      <w:r w:rsidRPr="00AC100B">
        <w:rPr>
          <w:rFonts w:ascii="OpenSans" w:eastAsia="OpenSans" w:hAnsi="Open Sans" w:cs="Open Sans" w:hint="eastAsia"/>
          <w:b/>
          <w:bCs/>
        </w:rPr>
        <w:t>glich Untervermietungen</w:t>
      </w:r>
      <w:r w:rsidRPr="00AC100B">
        <w:rPr>
          <w:rFonts w:ascii="OpenSans" w:eastAsia="OpenSans" w:hAnsi="Open Sans" w:cs="Open Sans" w:hint="eastAsia"/>
        </w:rPr>
        <w:t xml:space="preserve"> enth</w:t>
      </w:r>
      <w:r w:rsidRPr="00AC100B">
        <w:rPr>
          <w:rFonts w:ascii="OpenSans" w:eastAsia="OpenSans" w:hAnsi="Open Sans" w:cs="Open Sans" w:hint="eastAsia"/>
        </w:rPr>
        <w:t>ä</w:t>
      </w:r>
      <w:r w:rsidRPr="00AC100B">
        <w:rPr>
          <w:rFonts w:ascii="OpenSans" w:eastAsia="OpenSans" w:hAnsi="Open Sans" w:cs="Open Sans" w:hint="eastAsia"/>
        </w:rPr>
        <w:t xml:space="preserve">lt. </w:t>
      </w:r>
    </w:p>
    <w:p w14:paraId="294D4763" w14:textId="1D0265EE" w:rsidR="00AC100B" w:rsidRDefault="006C7EB6" w:rsidP="00822010">
      <w:r>
        <w:t xml:space="preserve">Link: </w:t>
      </w:r>
      <w:hyperlink r:id="rId21" w:tgtFrame="_blank" w:history="1">
        <w:r>
          <w:rPr>
            <w:rStyle w:val="Hyperlink"/>
          </w:rPr>
          <w:t>https://www.bundesrat.de/bv.html?id=0141-26</w:t>
        </w:r>
      </w:hyperlink>
    </w:p>
    <w:p w14:paraId="5F3D146E" w14:textId="77777777" w:rsidR="00822010" w:rsidRPr="00822010" w:rsidRDefault="00822010" w:rsidP="00822010">
      <w:pPr>
        <w:pBdr>
          <w:top w:val="single" w:sz="4" w:space="1" w:color="auto"/>
          <w:left w:val="single" w:sz="4" w:space="4" w:color="auto"/>
          <w:bottom w:val="single" w:sz="4" w:space="1" w:color="auto"/>
          <w:right w:val="single" w:sz="4" w:space="4" w:color="auto"/>
        </w:pBdr>
        <w:rPr>
          <w:rFonts w:ascii="OpenSans" w:hAnsi="OpenSans" w:cs="OpenSans"/>
          <w:b/>
          <w:bCs/>
        </w:rPr>
      </w:pPr>
      <w:r w:rsidRPr="00822010">
        <w:rPr>
          <w:rFonts w:ascii="OpenSans" w:hAnsi="OpenSans" w:cs="OpenSans"/>
        </w:rPr>
        <w:t xml:space="preserve">Entwurf eines ... Gesetzes zur </w:t>
      </w:r>
      <w:r w:rsidRPr="00822010">
        <w:rPr>
          <w:rFonts w:ascii="OpenSans" w:hAnsi="OpenSans" w:cs="OpenSans"/>
          <w:b/>
          <w:bCs/>
        </w:rPr>
        <w:t>Änderung des</w:t>
      </w:r>
      <w:r w:rsidRPr="00822010">
        <w:rPr>
          <w:rFonts w:ascii="OpenSans" w:hAnsi="OpenSans" w:cs="OpenSans"/>
          <w:b/>
          <w:bCs/>
        </w:rPr>
        <w:t xml:space="preserve"> </w:t>
      </w:r>
      <w:r w:rsidRPr="00822010">
        <w:rPr>
          <w:rFonts w:ascii="OpenSans" w:hAnsi="OpenSans" w:cs="OpenSans"/>
          <w:b/>
          <w:bCs/>
        </w:rPr>
        <w:t>Asylgesetzes</w:t>
      </w:r>
    </w:p>
    <w:p w14:paraId="1D0B8FFC" w14:textId="42452B93" w:rsidR="000F6409" w:rsidRPr="00822010" w:rsidRDefault="000F6409" w:rsidP="00822010">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sidR="00822010">
        <w:rPr>
          <w:rFonts w:cstheme="minorHAnsi"/>
          <w:color w:val="000000" w:themeColor="text1"/>
        </w:rPr>
        <w:t>154</w:t>
      </w:r>
      <w:r>
        <w:rPr>
          <w:rFonts w:cstheme="minorHAnsi"/>
          <w:color w:val="000000" w:themeColor="text1"/>
        </w:rPr>
        <w:t>/26</w:t>
      </w:r>
    </w:p>
    <w:p w14:paraId="571F2E7B" w14:textId="53BE19F4" w:rsidR="00822010" w:rsidRDefault="00822010" w:rsidP="00822010">
      <w:pPr>
        <w:autoSpaceDE w:val="0"/>
        <w:autoSpaceDN w:val="0"/>
        <w:adjustRightInd w:val="0"/>
        <w:spacing w:after="0" w:line="240" w:lineRule="auto"/>
        <w:rPr>
          <w:rFonts w:ascii="OpenSans" w:hAnsi="OpenSans" w:cs="OpenSans"/>
        </w:rPr>
      </w:pPr>
      <w:r>
        <w:rPr>
          <w:rFonts w:ascii="OpenSans" w:hAnsi="OpenSans" w:cs="OpenSans"/>
        </w:rPr>
        <w:t>Der Gesetzentwurf wurde in die Ausschüsse (R – In)</w:t>
      </w:r>
      <w:r>
        <w:rPr>
          <w:rFonts w:ascii="OpenSans" w:hAnsi="OpenSans" w:cs="OpenSans"/>
        </w:rPr>
        <w:t xml:space="preserve"> </w:t>
      </w:r>
      <w:r>
        <w:rPr>
          <w:rFonts w:ascii="OpenSans" w:hAnsi="OpenSans" w:cs="OpenSans"/>
        </w:rPr>
        <w:t>überwiesen.</w:t>
      </w:r>
    </w:p>
    <w:p w14:paraId="3EF68540" w14:textId="0B8D99B9" w:rsidR="00AC100B" w:rsidRDefault="00AC100B" w:rsidP="00822010">
      <w:pPr>
        <w:autoSpaceDE w:val="0"/>
        <w:autoSpaceDN w:val="0"/>
        <w:adjustRightInd w:val="0"/>
        <w:spacing w:after="0" w:line="240" w:lineRule="auto"/>
        <w:rPr>
          <w:rFonts w:ascii="OpenSans" w:hAnsi="OpenSans" w:cs="OpenSans"/>
        </w:rPr>
      </w:pPr>
    </w:p>
    <w:p w14:paraId="3A655ABE" w14:textId="164875D5" w:rsidR="00AC100B" w:rsidRDefault="00AC100B" w:rsidP="00AC100B">
      <w:pPr>
        <w:rPr>
          <w:rFonts w:ascii="OpenSans" w:eastAsia="OpenSans" w:hAnsi="Open Sans" w:cs="Open Sans"/>
          <w:b/>
          <w:bCs/>
        </w:rPr>
      </w:pPr>
      <w:r w:rsidRPr="00AC100B">
        <w:rPr>
          <w:rFonts w:ascii="OpenSans" w:eastAsia="OpenSans" w:hAnsi="Open Sans" w:cs="Open Sans" w:hint="eastAsia"/>
        </w:rPr>
        <w:t>Aufgrund der unver</w:t>
      </w:r>
      <w:r w:rsidRPr="00AC100B">
        <w:rPr>
          <w:rFonts w:ascii="OpenSans" w:eastAsia="OpenSans" w:hAnsi="Open Sans" w:cs="Open Sans" w:hint="eastAsia"/>
        </w:rPr>
        <w:t>ä</w:t>
      </w:r>
      <w:r w:rsidRPr="00AC100B">
        <w:rPr>
          <w:rFonts w:ascii="OpenSans" w:eastAsia="OpenSans" w:hAnsi="Open Sans" w:cs="Open Sans" w:hint="eastAsia"/>
        </w:rPr>
        <w:t xml:space="preserve">ndert hohen Belastung der Verwaltungsgerichte im Bereich Asyl soll das </w:t>
      </w:r>
      <w:r w:rsidRPr="00AC100B">
        <w:rPr>
          <w:rFonts w:ascii="OpenSans" w:eastAsia="OpenSans" w:hAnsi="Open Sans" w:cs="Open Sans" w:hint="eastAsia"/>
          <w:b/>
          <w:bCs/>
        </w:rPr>
        <w:t>Asylgesetz dahingehend ge</w:t>
      </w:r>
      <w:r w:rsidRPr="00AC100B">
        <w:rPr>
          <w:rFonts w:ascii="OpenSans" w:eastAsia="OpenSans" w:hAnsi="Open Sans" w:cs="Open Sans" w:hint="eastAsia"/>
          <w:b/>
          <w:bCs/>
        </w:rPr>
        <w:t>ä</w:t>
      </w:r>
      <w:r w:rsidRPr="00AC100B">
        <w:rPr>
          <w:rFonts w:ascii="OpenSans" w:eastAsia="OpenSans" w:hAnsi="Open Sans" w:cs="Open Sans" w:hint="eastAsia"/>
          <w:b/>
          <w:bCs/>
        </w:rPr>
        <w:t>ndert werden, als dass der origin</w:t>
      </w:r>
      <w:r w:rsidRPr="00AC100B">
        <w:rPr>
          <w:rFonts w:ascii="OpenSans" w:eastAsia="OpenSans" w:hAnsi="Open Sans" w:cs="Open Sans" w:hint="eastAsia"/>
          <w:b/>
          <w:bCs/>
        </w:rPr>
        <w:t>ä</w:t>
      </w:r>
      <w:r w:rsidRPr="00AC100B">
        <w:rPr>
          <w:rFonts w:ascii="OpenSans" w:eastAsia="OpenSans" w:hAnsi="Open Sans" w:cs="Open Sans" w:hint="eastAsia"/>
          <w:b/>
          <w:bCs/>
        </w:rPr>
        <w:t>re Einzelrichter auch f</w:t>
      </w:r>
      <w:r w:rsidRPr="00AC100B">
        <w:rPr>
          <w:rFonts w:ascii="OpenSans" w:eastAsia="OpenSans" w:hAnsi="Open Sans" w:cs="Open Sans" w:hint="eastAsia"/>
          <w:b/>
          <w:bCs/>
        </w:rPr>
        <w:t>ü</w:t>
      </w:r>
      <w:r w:rsidRPr="00AC100B">
        <w:rPr>
          <w:rFonts w:ascii="OpenSans" w:eastAsia="OpenSans" w:hAnsi="Open Sans" w:cs="Open Sans" w:hint="eastAsia"/>
          <w:b/>
          <w:bCs/>
        </w:rPr>
        <w:t>r Asylhauptsacheverfahren eingef</w:t>
      </w:r>
      <w:r w:rsidRPr="00AC100B">
        <w:rPr>
          <w:rFonts w:ascii="OpenSans" w:eastAsia="OpenSans" w:hAnsi="Open Sans" w:cs="Open Sans" w:hint="eastAsia"/>
          <w:b/>
          <w:bCs/>
        </w:rPr>
        <w:t>ü</w:t>
      </w:r>
      <w:r w:rsidRPr="00AC100B">
        <w:rPr>
          <w:rFonts w:ascii="OpenSans" w:eastAsia="OpenSans" w:hAnsi="Open Sans" w:cs="Open Sans" w:hint="eastAsia"/>
          <w:b/>
          <w:bCs/>
        </w:rPr>
        <w:t>hrt wird</w:t>
      </w:r>
      <w:r w:rsidRPr="00AC100B">
        <w:rPr>
          <w:rFonts w:ascii="OpenSans" w:eastAsia="OpenSans" w:hAnsi="Open Sans" w:cs="Open Sans" w:hint="eastAsia"/>
        </w:rPr>
        <w:t xml:space="preserve">. Ferner sollen </w:t>
      </w:r>
      <w:r w:rsidRPr="00AC100B">
        <w:rPr>
          <w:rFonts w:ascii="OpenSans" w:eastAsia="OpenSans" w:hAnsi="Open Sans" w:cs="Open Sans" w:hint="eastAsia"/>
          <w:b/>
          <w:bCs/>
        </w:rPr>
        <w:t>Richter auf Probe bereits ab dem Tag ihrer Ernennung als Einzelrichter t</w:t>
      </w:r>
      <w:r w:rsidRPr="00AC100B">
        <w:rPr>
          <w:rFonts w:ascii="OpenSans" w:eastAsia="OpenSans" w:hAnsi="Open Sans" w:cs="Open Sans" w:hint="eastAsia"/>
          <w:b/>
          <w:bCs/>
        </w:rPr>
        <w:t>ä</w:t>
      </w:r>
      <w:r w:rsidRPr="00AC100B">
        <w:rPr>
          <w:rFonts w:ascii="OpenSans" w:eastAsia="OpenSans" w:hAnsi="Open Sans" w:cs="Open Sans" w:hint="eastAsia"/>
          <w:b/>
          <w:bCs/>
        </w:rPr>
        <w:t>tig sein d</w:t>
      </w:r>
      <w:r w:rsidRPr="00AC100B">
        <w:rPr>
          <w:rFonts w:ascii="OpenSans" w:eastAsia="OpenSans" w:hAnsi="Open Sans" w:cs="Open Sans" w:hint="eastAsia"/>
          <w:b/>
          <w:bCs/>
        </w:rPr>
        <w:t>ü</w:t>
      </w:r>
      <w:r w:rsidRPr="00AC100B">
        <w:rPr>
          <w:rFonts w:ascii="OpenSans" w:eastAsia="OpenSans" w:hAnsi="Open Sans" w:cs="Open Sans" w:hint="eastAsia"/>
          <w:b/>
          <w:bCs/>
        </w:rPr>
        <w:t>rfen</w:t>
      </w:r>
      <w:r w:rsidRPr="00AC100B">
        <w:rPr>
          <w:rFonts w:ascii="OpenSans" w:eastAsia="OpenSans" w:hAnsi="Open Sans" w:cs="Open Sans" w:hint="eastAsia"/>
        </w:rPr>
        <w:t>. Zudem sollen die Voraussetzungen f</w:t>
      </w:r>
      <w:r w:rsidRPr="00AC100B">
        <w:rPr>
          <w:rFonts w:ascii="OpenSans" w:eastAsia="OpenSans" w:hAnsi="Open Sans" w:cs="Open Sans" w:hint="eastAsia"/>
        </w:rPr>
        <w:t>ü</w:t>
      </w:r>
      <w:r w:rsidRPr="00AC100B">
        <w:rPr>
          <w:rFonts w:ascii="OpenSans" w:eastAsia="OpenSans" w:hAnsi="Open Sans" w:cs="Open Sans" w:hint="eastAsia"/>
        </w:rPr>
        <w:t xml:space="preserve">r die </w:t>
      </w:r>
      <w:r w:rsidRPr="00AC100B">
        <w:rPr>
          <w:rFonts w:ascii="OpenSans" w:eastAsia="OpenSans" w:hAnsi="Open Sans" w:cs="Open Sans" w:hint="eastAsia"/>
          <w:b/>
          <w:bCs/>
        </w:rPr>
        <w:t>Ü</w:t>
      </w:r>
      <w:r w:rsidRPr="00AC100B">
        <w:rPr>
          <w:rFonts w:ascii="OpenSans" w:eastAsia="OpenSans" w:hAnsi="Open Sans" w:cs="Open Sans" w:hint="eastAsia"/>
          <w:b/>
          <w:bCs/>
        </w:rPr>
        <w:t>bertragung des Verfahrens auf den Einzelrichter in der Berufungsinstanz flexibler ausgestaltet werden.</w:t>
      </w:r>
    </w:p>
    <w:p w14:paraId="74DD2DB7" w14:textId="7A052FE3" w:rsidR="006C7EB6" w:rsidRPr="006C7EB6" w:rsidRDefault="006C7EB6" w:rsidP="00AC100B">
      <w:pPr>
        <w:rPr>
          <w:rFonts w:ascii="OpenSans" w:eastAsia="OpenSans" w:hAnsi="Open Sans" w:cs="Open Sans" w:hint="eastAsia"/>
        </w:rPr>
      </w:pPr>
      <w:r w:rsidRPr="006C7EB6">
        <w:rPr>
          <w:rFonts w:ascii="OpenSans" w:eastAsia="OpenSans" w:hAnsi="Open Sans" w:cs="Open Sans"/>
        </w:rPr>
        <w:t>Link:</w:t>
      </w:r>
      <w:r>
        <w:rPr>
          <w:rFonts w:ascii="OpenSans" w:eastAsia="OpenSans" w:hAnsi="Open Sans" w:cs="Open Sans"/>
        </w:rPr>
        <w:t xml:space="preserve"> </w:t>
      </w:r>
      <w:hyperlink r:id="rId22" w:tgtFrame="_blank" w:history="1">
        <w:r>
          <w:rPr>
            <w:rStyle w:val="Hyperlink"/>
          </w:rPr>
          <w:t>https://www.bundesrat.de/bv.html?id=0154-26</w:t>
        </w:r>
      </w:hyperlink>
    </w:p>
    <w:p w14:paraId="524EF6F8" w14:textId="77777777" w:rsidR="00AC100B" w:rsidRDefault="00AC100B" w:rsidP="00822010">
      <w:pPr>
        <w:autoSpaceDE w:val="0"/>
        <w:autoSpaceDN w:val="0"/>
        <w:adjustRightInd w:val="0"/>
        <w:spacing w:after="0" w:line="240" w:lineRule="auto"/>
      </w:pPr>
    </w:p>
    <w:p w14:paraId="25411BEF" w14:textId="5AECD6AE" w:rsidR="003B44AF" w:rsidRDefault="003B44AF" w:rsidP="000F6409">
      <w:pPr>
        <w:pBdr>
          <w:top w:val="single" w:sz="4" w:space="1" w:color="auto"/>
          <w:left w:val="single" w:sz="4" w:space="4" w:color="auto"/>
          <w:bottom w:val="single" w:sz="4" w:space="1" w:color="auto"/>
          <w:right w:val="single" w:sz="4" w:space="4" w:color="auto"/>
        </w:pBdr>
        <w:rPr>
          <w:rFonts w:ascii="OpenSans" w:hAnsi="OpenSans" w:cs="OpenSans"/>
          <w:b/>
          <w:bCs/>
        </w:rPr>
      </w:pPr>
      <w:r w:rsidRPr="003B44AF">
        <w:rPr>
          <w:rFonts w:ascii="OpenSans" w:hAnsi="OpenSans" w:cs="OpenSans"/>
        </w:rPr>
        <w:t>Entschließung des Bundesrates</w:t>
      </w:r>
      <w:r w:rsidRPr="003B44AF">
        <w:rPr>
          <w:rFonts w:ascii="OpenSans" w:hAnsi="OpenSans" w:cs="OpenSans"/>
          <w:b/>
          <w:bCs/>
        </w:rPr>
        <w:t xml:space="preserve"> „Solidarität mit den Opfern digitaler Gewalt – Unterstützung des digitalen Gewaltschutzgesetzes“</w:t>
      </w:r>
    </w:p>
    <w:p w14:paraId="4AF4BAEF" w14:textId="61AA0DDF" w:rsidR="003B44AF" w:rsidRPr="003B44AF" w:rsidRDefault="003B44AF" w:rsidP="000F6409">
      <w:pPr>
        <w:pBdr>
          <w:top w:val="single" w:sz="4" w:space="1" w:color="auto"/>
          <w:left w:val="single" w:sz="4" w:space="4" w:color="auto"/>
          <w:bottom w:val="single" w:sz="4" w:space="1" w:color="auto"/>
          <w:right w:val="single" w:sz="4" w:space="4" w:color="auto"/>
        </w:pBdr>
        <w:rPr>
          <w:rFonts w:ascii="OpenSans" w:hAnsi="OpenSans" w:cs="OpenSans"/>
        </w:rPr>
      </w:pPr>
      <w:r w:rsidRPr="003B44AF">
        <w:rPr>
          <w:rFonts w:ascii="OpenSans" w:hAnsi="OpenSans" w:cs="OpenSans"/>
        </w:rPr>
        <w:t>Antrag MV</w:t>
      </w:r>
      <w:r>
        <w:rPr>
          <w:rFonts w:ascii="OpenSans" w:hAnsi="OpenSans" w:cs="OpenSans"/>
        </w:rPr>
        <w:t xml:space="preserve"> und </w:t>
      </w:r>
      <w:proofErr w:type="gramStart"/>
      <w:r>
        <w:rPr>
          <w:rFonts w:ascii="OpenSans" w:hAnsi="OpenSans" w:cs="OpenSans"/>
        </w:rPr>
        <w:t>BB,HB</w:t>
      </w:r>
      <w:proofErr w:type="gramEnd"/>
      <w:r>
        <w:rPr>
          <w:rFonts w:ascii="OpenSans" w:hAnsi="OpenSans" w:cs="OpenSans"/>
        </w:rPr>
        <w:t>,SH,SL</w:t>
      </w:r>
    </w:p>
    <w:p w14:paraId="4697D2D7" w14:textId="5AE6CAEA" w:rsidR="000F6409" w:rsidRDefault="000F6409" w:rsidP="000F6409">
      <w:pPr>
        <w:pBdr>
          <w:top w:val="single" w:sz="4" w:space="1" w:color="auto"/>
          <w:left w:val="single" w:sz="4" w:space="4" w:color="auto"/>
          <w:bottom w:val="single" w:sz="4" w:space="1" w:color="auto"/>
          <w:right w:val="single" w:sz="4" w:space="4" w:color="auto"/>
        </w:pBdr>
        <w:rPr>
          <w:rFonts w:cstheme="minorHAnsi"/>
          <w:color w:val="000000" w:themeColor="text1"/>
        </w:rPr>
      </w:pPr>
      <w:r>
        <w:rPr>
          <w:rFonts w:cstheme="minorHAnsi"/>
          <w:color w:val="000000" w:themeColor="text1"/>
        </w:rPr>
        <w:t>BR-</w:t>
      </w:r>
      <w:proofErr w:type="spellStart"/>
      <w:r>
        <w:rPr>
          <w:rFonts w:cstheme="minorHAnsi"/>
          <w:color w:val="000000" w:themeColor="text1"/>
        </w:rPr>
        <w:t>Drs</w:t>
      </w:r>
      <w:proofErr w:type="spellEnd"/>
      <w:r>
        <w:rPr>
          <w:rFonts w:cstheme="minorHAnsi"/>
          <w:color w:val="000000" w:themeColor="text1"/>
        </w:rPr>
        <w:t xml:space="preserve">. </w:t>
      </w:r>
      <w:r w:rsidR="003B44AF">
        <w:rPr>
          <w:rFonts w:cstheme="minorHAnsi"/>
          <w:color w:val="000000" w:themeColor="text1"/>
        </w:rPr>
        <w:t>170</w:t>
      </w:r>
      <w:r>
        <w:rPr>
          <w:rFonts w:cstheme="minorHAnsi"/>
          <w:color w:val="000000" w:themeColor="text1"/>
        </w:rPr>
        <w:t>/26</w:t>
      </w:r>
    </w:p>
    <w:p w14:paraId="43EE9029" w14:textId="77777777" w:rsidR="003B44AF" w:rsidRPr="003B44AF" w:rsidRDefault="003B44AF" w:rsidP="003B44AF">
      <w:pPr>
        <w:rPr>
          <w:rFonts w:ascii="OpenSans" w:eastAsia="OpenSans" w:hAnsi="Open Sans" w:cs="Open Sans"/>
        </w:rPr>
      </w:pPr>
      <w:r w:rsidRPr="003B44AF">
        <w:rPr>
          <w:rFonts w:ascii="OpenSans" w:eastAsia="OpenSans" w:hAnsi="Open Sans" w:cs="Open Sans"/>
        </w:rPr>
        <w:t>Der Bundesrat fasste die Entschlie</w:t>
      </w:r>
      <w:r w:rsidRPr="003B44AF">
        <w:rPr>
          <w:rFonts w:ascii="OpenSans" w:eastAsia="OpenSans" w:hAnsi="Open Sans" w:cs="Open Sans"/>
        </w:rPr>
        <w:t>ß</w:t>
      </w:r>
      <w:r w:rsidRPr="003B44AF">
        <w:rPr>
          <w:rFonts w:ascii="OpenSans" w:eastAsia="OpenSans" w:hAnsi="Open Sans" w:cs="Open Sans"/>
        </w:rPr>
        <w:t>ung.</w:t>
      </w:r>
    </w:p>
    <w:p w14:paraId="3897B27C" w14:textId="71B78326" w:rsidR="003B44AF" w:rsidRDefault="003B44AF" w:rsidP="003B44AF">
      <w:pPr>
        <w:rPr>
          <w:rFonts w:ascii="OpenSans" w:eastAsia="OpenSans" w:hAnsi="Open Sans" w:cs="Open Sans"/>
        </w:rPr>
      </w:pPr>
      <w:r w:rsidRPr="003B44AF">
        <w:rPr>
          <w:rFonts w:ascii="OpenSans" w:eastAsia="OpenSans" w:hAnsi="Open Sans" w:cs="Open Sans"/>
        </w:rPr>
        <w:t>NRW</w:t>
      </w:r>
      <w:r>
        <w:rPr>
          <w:rFonts w:ascii="OpenSans" w:eastAsia="OpenSans" w:hAnsi="Open Sans" w:cs="Open Sans"/>
        </w:rPr>
        <w:t xml:space="preserve">: </w:t>
      </w:r>
      <w:r w:rsidRPr="003B44AF">
        <w:rPr>
          <w:rFonts w:ascii="OpenSans" w:eastAsia="OpenSans" w:hAnsi="Open Sans" w:cs="Open Sans"/>
        </w:rPr>
        <w:t>Zustimmung zur sofortigen Sachentscheidung.</w:t>
      </w:r>
      <w:r>
        <w:rPr>
          <w:rFonts w:ascii="OpenSans" w:eastAsia="OpenSans" w:hAnsi="Open Sans" w:cs="Open Sans"/>
        </w:rPr>
        <w:t xml:space="preserve"> </w:t>
      </w:r>
      <w:r w:rsidRPr="003B44AF">
        <w:rPr>
          <w:rFonts w:ascii="OpenSans" w:eastAsia="OpenSans" w:hAnsi="Open Sans" w:cs="Open Sans"/>
        </w:rPr>
        <w:t>Zustimmung zum Fassen der Entschlie</w:t>
      </w:r>
      <w:r w:rsidRPr="003B44AF">
        <w:rPr>
          <w:rFonts w:ascii="OpenSans" w:eastAsia="OpenSans" w:hAnsi="Open Sans" w:cs="Open Sans"/>
        </w:rPr>
        <w:t>ß</w:t>
      </w:r>
      <w:r w:rsidRPr="003B44AF">
        <w:rPr>
          <w:rFonts w:ascii="OpenSans" w:eastAsia="OpenSans" w:hAnsi="Open Sans" w:cs="Open Sans"/>
        </w:rPr>
        <w:t>ung.</w:t>
      </w:r>
    </w:p>
    <w:p w14:paraId="587F0882" w14:textId="30CCB710" w:rsidR="003B44AF" w:rsidRPr="003B44AF" w:rsidRDefault="003B44AF" w:rsidP="003B44AF">
      <w:pPr>
        <w:rPr>
          <w:rFonts w:ascii="OpenSans" w:eastAsia="OpenSans" w:hAnsi="Open Sans" w:cs="Open Sans" w:hint="eastAsia"/>
        </w:rPr>
      </w:pPr>
      <w:r>
        <w:rPr>
          <w:rFonts w:ascii="OpenSans" w:eastAsia="OpenSans" w:hAnsi="Open Sans" w:cs="Open Sans"/>
        </w:rPr>
        <w:t>Die</w:t>
      </w:r>
      <w:r w:rsidRPr="003B44AF">
        <w:rPr>
          <w:rFonts w:ascii="OpenSans" w:eastAsia="OpenSans" w:hAnsi="Open Sans" w:cs="Open Sans" w:hint="eastAsia"/>
        </w:rPr>
        <w:t xml:space="preserve"> Entschlie</w:t>
      </w:r>
      <w:r w:rsidRPr="003B44AF">
        <w:rPr>
          <w:rFonts w:ascii="OpenSans" w:eastAsia="OpenSans" w:hAnsi="Open Sans" w:cs="Open Sans" w:hint="eastAsia"/>
        </w:rPr>
        <w:t>ß</w:t>
      </w:r>
      <w:r w:rsidRPr="003B44AF">
        <w:rPr>
          <w:rFonts w:ascii="OpenSans" w:eastAsia="OpenSans" w:hAnsi="Open Sans" w:cs="Open Sans" w:hint="eastAsia"/>
        </w:rPr>
        <w:t xml:space="preserve">ung </w:t>
      </w:r>
      <w:r>
        <w:rPr>
          <w:rFonts w:ascii="OpenSans" w:eastAsia="OpenSans" w:hAnsi="Open Sans" w:cs="Open Sans"/>
        </w:rPr>
        <w:t>verurteilt</w:t>
      </w:r>
      <w:r w:rsidRPr="003B44AF">
        <w:rPr>
          <w:rFonts w:ascii="OpenSans" w:eastAsia="OpenSans" w:hAnsi="Open Sans" w:cs="Open Sans" w:hint="eastAsia"/>
        </w:rPr>
        <w:t xml:space="preserve"> </w:t>
      </w:r>
      <w:r w:rsidRPr="003B44AF">
        <w:rPr>
          <w:rFonts w:ascii="OpenSans" w:eastAsia="OpenSans" w:hAnsi="Open Sans" w:cs="Open Sans" w:hint="eastAsia"/>
          <w:b/>
          <w:bCs/>
        </w:rPr>
        <w:t>alle Formen sexualisierter Gewalt</w:t>
      </w:r>
      <w:r w:rsidRPr="003B44AF">
        <w:rPr>
          <w:rFonts w:ascii="OpenSans" w:eastAsia="OpenSans" w:hAnsi="Open Sans" w:cs="Open Sans" w:hint="eastAsia"/>
        </w:rPr>
        <w:t>. Dazu z</w:t>
      </w:r>
      <w:r w:rsidRPr="003B44AF">
        <w:rPr>
          <w:rFonts w:ascii="OpenSans" w:eastAsia="OpenSans" w:hAnsi="Open Sans" w:cs="Open Sans" w:hint="eastAsia"/>
        </w:rPr>
        <w:t>ä</w:t>
      </w:r>
      <w:r w:rsidRPr="003B44AF">
        <w:rPr>
          <w:rFonts w:ascii="OpenSans" w:eastAsia="OpenSans" w:hAnsi="Open Sans" w:cs="Open Sans" w:hint="eastAsia"/>
        </w:rPr>
        <w:t xml:space="preserve">hlt auch bildbasierte sexualisierte Gewalt und </w:t>
      </w:r>
      <w:r w:rsidRPr="003B44AF">
        <w:rPr>
          <w:rFonts w:ascii="OpenSans" w:eastAsia="OpenSans" w:hAnsi="Open Sans" w:cs="Open Sans" w:hint="eastAsia"/>
          <w:b/>
          <w:bCs/>
        </w:rPr>
        <w:t>insbesondere pornographische Deepfakes.</w:t>
      </w:r>
      <w:r w:rsidRPr="003B44AF">
        <w:rPr>
          <w:rFonts w:ascii="OpenSans" w:eastAsia="OpenSans" w:hAnsi="Open Sans" w:cs="Open Sans" w:hint="eastAsia"/>
        </w:rPr>
        <w:t xml:space="preserve"> Der Bundesrat </w:t>
      </w:r>
      <w:r>
        <w:rPr>
          <w:rFonts w:ascii="OpenSans" w:eastAsia="OpenSans" w:hAnsi="Open Sans" w:cs="Open Sans"/>
        </w:rPr>
        <w:t>erkl</w:t>
      </w:r>
      <w:r>
        <w:rPr>
          <w:rFonts w:ascii="OpenSans" w:eastAsia="OpenSans" w:hAnsi="Open Sans" w:cs="Open Sans"/>
        </w:rPr>
        <w:t>ä</w:t>
      </w:r>
      <w:r>
        <w:rPr>
          <w:rFonts w:ascii="OpenSans" w:eastAsia="OpenSans" w:hAnsi="Open Sans" w:cs="Open Sans"/>
        </w:rPr>
        <w:t>rt seine</w:t>
      </w:r>
      <w:r w:rsidRPr="003B44AF">
        <w:rPr>
          <w:rFonts w:ascii="OpenSans" w:eastAsia="OpenSans" w:hAnsi="Open Sans" w:cs="Open Sans" w:hint="eastAsia"/>
        </w:rPr>
        <w:t xml:space="preserve"> Solidarit</w:t>
      </w:r>
      <w:r w:rsidRPr="003B44AF">
        <w:rPr>
          <w:rFonts w:ascii="OpenSans" w:eastAsia="OpenSans" w:hAnsi="Open Sans" w:cs="Open Sans" w:hint="eastAsia"/>
        </w:rPr>
        <w:t>ä</w:t>
      </w:r>
      <w:r w:rsidRPr="003B44AF">
        <w:rPr>
          <w:rFonts w:ascii="OpenSans" w:eastAsia="OpenSans" w:hAnsi="Open Sans" w:cs="Open Sans" w:hint="eastAsia"/>
        </w:rPr>
        <w:t xml:space="preserve">t mit allen Betroffenen digitaler Gewalt. Der </w:t>
      </w:r>
      <w:r w:rsidRPr="003B44AF">
        <w:rPr>
          <w:rFonts w:ascii="OpenSans" w:eastAsia="OpenSans" w:hAnsi="Open Sans" w:cs="Open Sans" w:hint="eastAsia"/>
          <w:b/>
          <w:bCs/>
        </w:rPr>
        <w:t>Schutz von Pers</w:t>
      </w:r>
      <w:r w:rsidRPr="003B44AF">
        <w:rPr>
          <w:rFonts w:ascii="OpenSans" w:eastAsia="OpenSans" w:hAnsi="Open Sans" w:cs="Open Sans" w:hint="eastAsia"/>
          <w:b/>
          <w:bCs/>
        </w:rPr>
        <w:t>ö</w:t>
      </w:r>
      <w:r w:rsidRPr="003B44AF">
        <w:rPr>
          <w:rFonts w:ascii="OpenSans" w:eastAsia="OpenSans" w:hAnsi="Open Sans" w:cs="Open Sans" w:hint="eastAsia"/>
          <w:b/>
          <w:bCs/>
        </w:rPr>
        <w:t>nlichkeitsrechten im digitalen Raum sei ein gesamtgesellschaftliches Anliegen</w:t>
      </w:r>
      <w:r w:rsidRPr="003B44AF">
        <w:rPr>
          <w:rFonts w:ascii="OpenSans" w:eastAsia="OpenSans" w:hAnsi="Open Sans" w:cs="Open Sans" w:hint="eastAsia"/>
        </w:rPr>
        <w:t xml:space="preserve">, das </w:t>
      </w:r>
      <w:r w:rsidRPr="003B44AF">
        <w:rPr>
          <w:rFonts w:ascii="OpenSans" w:eastAsia="OpenSans" w:hAnsi="Open Sans" w:cs="Open Sans" w:hint="eastAsia"/>
        </w:rPr>
        <w:t>ü</w:t>
      </w:r>
      <w:r w:rsidRPr="003B44AF">
        <w:rPr>
          <w:rFonts w:ascii="OpenSans" w:eastAsia="OpenSans" w:hAnsi="Open Sans" w:cs="Open Sans" w:hint="eastAsia"/>
        </w:rPr>
        <w:t xml:space="preserve">ber die Strafverfolgung hinaus </w:t>
      </w:r>
      <w:r w:rsidRPr="003B44AF">
        <w:rPr>
          <w:rFonts w:ascii="OpenSans" w:eastAsia="OpenSans" w:hAnsi="Open Sans" w:cs="Open Sans" w:hint="eastAsia"/>
          <w:b/>
          <w:bCs/>
        </w:rPr>
        <w:t>Pr</w:t>
      </w:r>
      <w:r w:rsidRPr="003B44AF">
        <w:rPr>
          <w:rFonts w:ascii="OpenSans" w:eastAsia="OpenSans" w:hAnsi="Open Sans" w:cs="Open Sans" w:hint="eastAsia"/>
          <w:b/>
          <w:bCs/>
        </w:rPr>
        <w:t>ä</w:t>
      </w:r>
      <w:r w:rsidRPr="003B44AF">
        <w:rPr>
          <w:rFonts w:ascii="OpenSans" w:eastAsia="OpenSans" w:hAnsi="Open Sans" w:cs="Open Sans" w:hint="eastAsia"/>
          <w:b/>
          <w:bCs/>
        </w:rPr>
        <w:t>vention, Opferschutz und Medienkompetenz</w:t>
      </w:r>
      <w:r w:rsidRPr="003B44AF">
        <w:rPr>
          <w:rFonts w:ascii="OpenSans" w:eastAsia="OpenSans" w:hAnsi="Open Sans" w:cs="Open Sans" w:hint="eastAsia"/>
        </w:rPr>
        <w:t xml:space="preserve"> erfordere.</w:t>
      </w:r>
    </w:p>
    <w:p w14:paraId="7F25A5F0" w14:textId="7D591D6D" w:rsidR="003B44AF" w:rsidRPr="003B44AF" w:rsidRDefault="003B44AF" w:rsidP="003B44AF">
      <w:pPr>
        <w:rPr>
          <w:rFonts w:ascii="OpenSans" w:eastAsia="OpenSans" w:hAnsi="Open Sans" w:cs="Open Sans" w:hint="eastAsia"/>
        </w:rPr>
      </w:pPr>
      <w:r w:rsidRPr="003B44AF">
        <w:rPr>
          <w:rFonts w:ascii="OpenSans" w:eastAsia="OpenSans" w:hAnsi="Open Sans" w:cs="Open Sans" w:hint="eastAsia"/>
        </w:rPr>
        <w:t xml:space="preserve">Das </w:t>
      </w:r>
      <w:r w:rsidRPr="003B44AF">
        <w:rPr>
          <w:rFonts w:ascii="OpenSans" w:eastAsia="OpenSans" w:hAnsi="Open Sans" w:cs="Open Sans" w:hint="eastAsia"/>
          <w:b/>
          <w:bCs/>
        </w:rPr>
        <w:t>Vorhaben des BMJV, ein digitales Gewaltschutzgesetz vorzulegen wird ausdr</w:t>
      </w:r>
      <w:r w:rsidRPr="003B44AF">
        <w:rPr>
          <w:rFonts w:ascii="OpenSans" w:eastAsia="OpenSans" w:hAnsi="Open Sans" w:cs="Open Sans" w:hint="eastAsia"/>
          <w:b/>
          <w:bCs/>
        </w:rPr>
        <w:t>ü</w:t>
      </w:r>
      <w:r w:rsidRPr="003B44AF">
        <w:rPr>
          <w:rFonts w:ascii="OpenSans" w:eastAsia="OpenSans" w:hAnsi="Open Sans" w:cs="Open Sans" w:hint="eastAsia"/>
          <w:b/>
          <w:bCs/>
        </w:rPr>
        <w:t>cklich begr</w:t>
      </w:r>
      <w:r w:rsidRPr="003B44AF">
        <w:rPr>
          <w:rFonts w:ascii="OpenSans" w:eastAsia="OpenSans" w:hAnsi="Open Sans" w:cs="Open Sans" w:hint="eastAsia"/>
          <w:b/>
          <w:bCs/>
        </w:rPr>
        <w:t>üß</w:t>
      </w:r>
      <w:r w:rsidRPr="003B44AF">
        <w:rPr>
          <w:rFonts w:ascii="OpenSans" w:eastAsia="OpenSans" w:hAnsi="Open Sans" w:cs="Open Sans" w:hint="eastAsia"/>
          <w:b/>
          <w:bCs/>
        </w:rPr>
        <w:t>t</w:t>
      </w:r>
      <w:r w:rsidRPr="003B44AF">
        <w:rPr>
          <w:rFonts w:ascii="OpenSans" w:eastAsia="OpenSans" w:hAnsi="Open Sans" w:cs="Open Sans" w:hint="eastAsia"/>
        </w:rPr>
        <w:t xml:space="preserve"> und um z</w:t>
      </w:r>
      <w:r w:rsidRPr="003B44AF">
        <w:rPr>
          <w:rFonts w:ascii="OpenSans" w:eastAsia="OpenSans" w:hAnsi="Open Sans" w:cs="Open Sans" w:hint="eastAsia"/>
        </w:rPr>
        <w:t>ü</w:t>
      </w:r>
      <w:r w:rsidRPr="003B44AF">
        <w:rPr>
          <w:rFonts w:ascii="OpenSans" w:eastAsia="OpenSans" w:hAnsi="Open Sans" w:cs="Open Sans" w:hint="eastAsia"/>
        </w:rPr>
        <w:t xml:space="preserve">gige Verabschiedung gebeten. Dabei sollen </w:t>
      </w:r>
      <w:r w:rsidRPr="003B44AF">
        <w:rPr>
          <w:rFonts w:ascii="OpenSans" w:eastAsia="OpenSans" w:hAnsi="Open Sans" w:cs="Open Sans" w:hint="eastAsia"/>
          <w:b/>
          <w:bCs/>
        </w:rPr>
        <w:t xml:space="preserve">das Herstellen und Verbreiten </w:t>
      </w:r>
      <w:r w:rsidRPr="003B44AF">
        <w:rPr>
          <w:rFonts w:ascii="OpenSans" w:eastAsia="OpenSans" w:hAnsi="Open Sans" w:cs="Open Sans" w:hint="eastAsia"/>
          <w:b/>
          <w:bCs/>
        </w:rPr>
        <w:lastRenderedPageBreak/>
        <w:t>pornographischer Deep Fakes als eigenest</w:t>
      </w:r>
      <w:r w:rsidRPr="003B44AF">
        <w:rPr>
          <w:rFonts w:ascii="OpenSans" w:eastAsia="OpenSans" w:hAnsi="Open Sans" w:cs="Open Sans" w:hint="eastAsia"/>
          <w:b/>
          <w:bCs/>
        </w:rPr>
        <w:t>ä</w:t>
      </w:r>
      <w:r w:rsidRPr="003B44AF">
        <w:rPr>
          <w:rFonts w:ascii="OpenSans" w:eastAsia="OpenSans" w:hAnsi="Open Sans" w:cs="Open Sans" w:hint="eastAsia"/>
          <w:b/>
          <w:bCs/>
        </w:rPr>
        <w:t>ndiger Straftatbestand umfasst sein</w:t>
      </w:r>
      <w:r w:rsidRPr="003B44AF">
        <w:rPr>
          <w:rFonts w:ascii="OpenSans" w:eastAsia="OpenSans" w:hAnsi="Open Sans" w:cs="Open Sans" w:hint="eastAsia"/>
        </w:rPr>
        <w:t xml:space="preserve"> sowie </w:t>
      </w:r>
      <w:r w:rsidRPr="003B44AF">
        <w:rPr>
          <w:rFonts w:ascii="OpenSans" w:eastAsia="OpenSans" w:hAnsi="Open Sans" w:cs="Open Sans" w:hint="eastAsia"/>
          <w:b/>
          <w:bCs/>
        </w:rPr>
        <w:t>Schutzl</w:t>
      </w:r>
      <w:r w:rsidRPr="003B44AF">
        <w:rPr>
          <w:rFonts w:ascii="OpenSans" w:eastAsia="OpenSans" w:hAnsi="Open Sans" w:cs="Open Sans" w:hint="eastAsia"/>
          <w:b/>
          <w:bCs/>
        </w:rPr>
        <w:t>ü</w:t>
      </w:r>
      <w:r w:rsidRPr="003B44AF">
        <w:rPr>
          <w:rFonts w:ascii="OpenSans" w:eastAsia="OpenSans" w:hAnsi="Open Sans" w:cs="Open Sans" w:hint="eastAsia"/>
          <w:b/>
          <w:bCs/>
        </w:rPr>
        <w:t xml:space="preserve">cken bei Anfertigung sexualisierter Bildaufnahmen im </w:t>
      </w:r>
      <w:r w:rsidRPr="003B44AF">
        <w:rPr>
          <w:rFonts w:ascii="OpenSans" w:eastAsia="OpenSans" w:hAnsi="Open Sans" w:cs="Open Sans" w:hint="eastAsia"/>
          <w:b/>
          <w:bCs/>
        </w:rPr>
        <w:t>ö</w:t>
      </w:r>
      <w:r w:rsidRPr="003B44AF">
        <w:rPr>
          <w:rFonts w:ascii="OpenSans" w:eastAsia="OpenSans" w:hAnsi="Open Sans" w:cs="Open Sans" w:hint="eastAsia"/>
          <w:b/>
          <w:bCs/>
        </w:rPr>
        <w:t>ffentlichen Bereich</w:t>
      </w:r>
      <w:r w:rsidRPr="003B44AF">
        <w:rPr>
          <w:rFonts w:ascii="OpenSans" w:eastAsia="OpenSans" w:hAnsi="Open Sans" w:cs="Open Sans" w:hint="eastAsia"/>
        </w:rPr>
        <w:t xml:space="preserve"> geschlossen werden. Au</w:t>
      </w:r>
      <w:r w:rsidRPr="003B44AF">
        <w:rPr>
          <w:rFonts w:ascii="OpenSans" w:eastAsia="OpenSans" w:hAnsi="Open Sans" w:cs="Open Sans" w:hint="eastAsia"/>
        </w:rPr>
        <w:t>ß</w:t>
      </w:r>
      <w:r w:rsidRPr="003B44AF">
        <w:rPr>
          <w:rFonts w:ascii="OpenSans" w:eastAsia="OpenSans" w:hAnsi="Open Sans" w:cs="Open Sans" w:hint="eastAsia"/>
        </w:rPr>
        <w:t xml:space="preserve">erdem sollten Betroffenen wirksame zivilrechtliche Instrumente an die Hand gegeben werden, um die </w:t>
      </w:r>
      <w:r w:rsidRPr="003B44AF">
        <w:rPr>
          <w:rFonts w:ascii="OpenSans" w:eastAsia="OpenSans" w:hAnsi="Open Sans" w:cs="Open Sans" w:hint="eastAsia"/>
          <w:b/>
          <w:bCs/>
        </w:rPr>
        <w:t>L</w:t>
      </w:r>
      <w:r w:rsidRPr="003B44AF">
        <w:rPr>
          <w:rFonts w:ascii="OpenSans" w:eastAsia="OpenSans" w:hAnsi="Open Sans" w:cs="Open Sans" w:hint="eastAsia"/>
          <w:b/>
          <w:bCs/>
        </w:rPr>
        <w:t>ö</w:t>
      </w:r>
      <w:r w:rsidRPr="003B44AF">
        <w:rPr>
          <w:rFonts w:ascii="OpenSans" w:eastAsia="OpenSans" w:hAnsi="Open Sans" w:cs="Open Sans" w:hint="eastAsia"/>
          <w:b/>
          <w:bCs/>
        </w:rPr>
        <w:t>schung rechtswidriger Inhalte und die Sperrung von Accounts</w:t>
      </w:r>
      <w:r w:rsidRPr="003B44AF">
        <w:rPr>
          <w:rFonts w:ascii="OpenSans" w:eastAsia="OpenSans" w:hAnsi="Open Sans" w:cs="Open Sans" w:hint="eastAsia"/>
        </w:rPr>
        <w:t xml:space="preserve"> durchzusetzen. </w:t>
      </w:r>
    </w:p>
    <w:p w14:paraId="6299F20D" w14:textId="18E74070" w:rsidR="000F6409" w:rsidRPr="003B44AF" w:rsidRDefault="003B44AF" w:rsidP="007F104B">
      <w:pPr>
        <w:rPr>
          <w:rFonts w:ascii="OpenSans" w:eastAsia="OpenSans" w:hAnsi="Open Sans" w:cs="Open Sans"/>
        </w:rPr>
      </w:pPr>
      <w:r w:rsidRPr="003B44AF">
        <w:rPr>
          <w:rFonts w:ascii="OpenSans" w:eastAsia="OpenSans" w:hAnsi="Open Sans" w:cs="Open Sans" w:hint="eastAsia"/>
        </w:rPr>
        <w:t>Zuletzt sollen die Ergebnisse der Beratungen der BR-GE zum strafrechtlichen Schutz von Pers</w:t>
      </w:r>
      <w:r w:rsidRPr="003B44AF">
        <w:rPr>
          <w:rFonts w:ascii="OpenSans" w:eastAsia="OpenSans" w:hAnsi="Open Sans" w:cs="Open Sans" w:hint="eastAsia"/>
        </w:rPr>
        <w:t>ö</w:t>
      </w:r>
      <w:r w:rsidRPr="003B44AF">
        <w:rPr>
          <w:rFonts w:ascii="OpenSans" w:eastAsia="OpenSans" w:hAnsi="Open Sans" w:cs="Open Sans" w:hint="eastAsia"/>
        </w:rPr>
        <w:t>nlichkeitsrechten vor Deepfakes (zuletzt BT-</w:t>
      </w:r>
      <w:proofErr w:type="spellStart"/>
      <w:r w:rsidRPr="003B44AF">
        <w:rPr>
          <w:rFonts w:ascii="OpenSans" w:eastAsia="OpenSans" w:hAnsi="Open Sans" w:cs="Open Sans" w:hint="eastAsia"/>
        </w:rPr>
        <w:t>Drs</w:t>
      </w:r>
      <w:proofErr w:type="spellEnd"/>
      <w:r w:rsidRPr="003B44AF">
        <w:rPr>
          <w:rFonts w:ascii="OpenSans" w:eastAsia="OpenSans" w:hAnsi="Open Sans" w:cs="Open Sans" w:hint="eastAsia"/>
        </w:rPr>
        <w:t>. 21/1383) in dem Regierungsentwurf einflie</w:t>
      </w:r>
      <w:r w:rsidRPr="003B44AF">
        <w:rPr>
          <w:rFonts w:ascii="OpenSans" w:eastAsia="OpenSans" w:hAnsi="Open Sans" w:cs="Open Sans" w:hint="eastAsia"/>
        </w:rPr>
        <w:t>ß</w:t>
      </w:r>
      <w:r w:rsidRPr="003B44AF">
        <w:rPr>
          <w:rFonts w:ascii="OpenSans" w:eastAsia="OpenSans" w:hAnsi="Open Sans" w:cs="Open Sans" w:hint="eastAsia"/>
        </w:rPr>
        <w:t xml:space="preserve">en und eine </w:t>
      </w:r>
      <w:r w:rsidRPr="003B44AF">
        <w:rPr>
          <w:rFonts w:ascii="OpenSans" w:eastAsia="OpenSans" w:hAnsi="Open Sans" w:cs="Open Sans" w:hint="eastAsia"/>
          <w:b/>
          <w:bCs/>
        </w:rPr>
        <w:t>z</w:t>
      </w:r>
      <w:r w:rsidRPr="003B44AF">
        <w:rPr>
          <w:rFonts w:ascii="OpenSans" w:eastAsia="OpenSans" w:hAnsi="Open Sans" w:cs="Open Sans" w:hint="eastAsia"/>
          <w:b/>
          <w:bCs/>
        </w:rPr>
        <w:t>ü</w:t>
      </w:r>
      <w:r w:rsidRPr="003B44AF">
        <w:rPr>
          <w:rFonts w:ascii="OpenSans" w:eastAsia="OpenSans" w:hAnsi="Open Sans" w:cs="Open Sans" w:hint="eastAsia"/>
          <w:b/>
          <w:bCs/>
        </w:rPr>
        <w:t>gige Umsetzung der EU-Richtlinie 2024/1385 zur Bek</w:t>
      </w:r>
      <w:r w:rsidRPr="003B44AF">
        <w:rPr>
          <w:rFonts w:ascii="OpenSans" w:eastAsia="OpenSans" w:hAnsi="Open Sans" w:cs="Open Sans" w:hint="eastAsia"/>
          <w:b/>
          <w:bCs/>
        </w:rPr>
        <w:t>ä</w:t>
      </w:r>
      <w:r w:rsidRPr="003B44AF">
        <w:rPr>
          <w:rFonts w:ascii="OpenSans" w:eastAsia="OpenSans" w:hAnsi="Open Sans" w:cs="Open Sans" w:hint="eastAsia"/>
          <w:b/>
          <w:bCs/>
        </w:rPr>
        <w:t>mpfung von Gewalt gegen Frauen und h</w:t>
      </w:r>
      <w:r w:rsidRPr="003B44AF">
        <w:rPr>
          <w:rFonts w:ascii="OpenSans" w:eastAsia="OpenSans" w:hAnsi="Open Sans" w:cs="Open Sans" w:hint="eastAsia"/>
          <w:b/>
          <w:bCs/>
        </w:rPr>
        <w:t>ä</w:t>
      </w:r>
      <w:r w:rsidRPr="003B44AF">
        <w:rPr>
          <w:rFonts w:ascii="OpenSans" w:eastAsia="OpenSans" w:hAnsi="Open Sans" w:cs="Open Sans" w:hint="eastAsia"/>
          <w:b/>
          <w:bCs/>
        </w:rPr>
        <w:t>uslicher Gewalt</w:t>
      </w:r>
      <w:r w:rsidRPr="003B44AF">
        <w:rPr>
          <w:rFonts w:ascii="OpenSans" w:eastAsia="OpenSans" w:hAnsi="Open Sans" w:cs="Open Sans" w:hint="eastAsia"/>
        </w:rPr>
        <w:t xml:space="preserve"> erfolgen. </w:t>
      </w:r>
    </w:p>
    <w:p w14:paraId="002C5FC1" w14:textId="7A8D6972" w:rsidR="000F6409" w:rsidRDefault="006C7EB6" w:rsidP="007F104B">
      <w:r>
        <w:t xml:space="preserve">Link: </w:t>
      </w:r>
      <w:hyperlink r:id="rId23" w:tgtFrame="_blank" w:history="1">
        <w:r>
          <w:rPr>
            <w:rStyle w:val="Hyperlink"/>
          </w:rPr>
          <w:t>https://www.bundesrat.de/bv.html?id=0170-26</w:t>
        </w:r>
      </w:hyperlink>
    </w:p>
    <w:p w14:paraId="35ECBA7B" w14:textId="77777777" w:rsidR="0015694B" w:rsidRPr="004F4C06" w:rsidRDefault="0015694B" w:rsidP="0015694B">
      <w:pPr>
        <w:shd w:val="clear" w:color="auto" w:fill="F2F2F2" w:themeFill="background1" w:themeFillShade="F2"/>
        <w:rPr>
          <w:b/>
          <w:sz w:val="24"/>
          <w:szCs w:val="24"/>
        </w:rPr>
      </w:pPr>
      <w:r>
        <w:rPr>
          <w:b/>
          <w:sz w:val="24"/>
          <w:szCs w:val="24"/>
        </w:rPr>
        <w:t>1.064</w:t>
      </w:r>
      <w:r w:rsidRPr="000B373F">
        <w:rPr>
          <w:b/>
          <w:sz w:val="24"/>
          <w:szCs w:val="24"/>
        </w:rPr>
        <w:t xml:space="preserve">. Plenarsitzung am </w:t>
      </w:r>
      <w:r>
        <w:rPr>
          <w:b/>
          <w:sz w:val="24"/>
          <w:szCs w:val="24"/>
        </w:rPr>
        <w:t>08. Mai 2026</w:t>
      </w:r>
    </w:p>
    <w:p w14:paraId="045ACE35" w14:textId="7D60D089" w:rsidR="000F6409" w:rsidRDefault="000F6409" w:rsidP="0015694B">
      <w:pPr>
        <w:autoSpaceDE w:val="0"/>
        <w:autoSpaceDN w:val="0"/>
        <w:adjustRightInd w:val="0"/>
        <w:spacing w:after="0" w:line="240" w:lineRule="auto"/>
      </w:pPr>
      <w:r>
        <w:t xml:space="preserve">Tagesordnung </w:t>
      </w:r>
      <w:r w:rsidR="00371B9A">
        <w:t>der</w:t>
      </w:r>
      <w:r>
        <w:t xml:space="preserve"> Plenarsitzung</w:t>
      </w:r>
      <w:r w:rsidR="00371B9A">
        <w:t>:</w:t>
      </w:r>
      <w:r>
        <w:t xml:space="preserve"> </w:t>
      </w:r>
      <w:hyperlink r:id="rId24" w:history="1">
        <w:r w:rsidRPr="006448DD">
          <w:rPr>
            <w:rStyle w:val="Hyperlink"/>
          </w:rPr>
          <w:t>https://www.bundesrat.de/SharedDocs/TO/1065/to-node.html</w:t>
        </w:r>
      </w:hyperlink>
    </w:p>
    <w:p w14:paraId="7C1ABF8C" w14:textId="77777777" w:rsidR="000F6409" w:rsidRDefault="000F6409" w:rsidP="0015694B">
      <w:pPr>
        <w:autoSpaceDE w:val="0"/>
        <w:autoSpaceDN w:val="0"/>
        <w:adjustRightInd w:val="0"/>
        <w:spacing w:after="0" w:line="240" w:lineRule="auto"/>
      </w:pPr>
    </w:p>
    <w:p w14:paraId="55BACE4F" w14:textId="01B005A9" w:rsidR="0015694B" w:rsidRDefault="0015694B" w:rsidP="0015694B">
      <w:pPr>
        <w:autoSpaceDE w:val="0"/>
        <w:autoSpaceDN w:val="0"/>
        <w:adjustRightInd w:val="0"/>
        <w:spacing w:after="0" w:line="240" w:lineRule="auto"/>
        <w:rPr>
          <w:rStyle w:val="Hyperlink"/>
        </w:rPr>
      </w:pPr>
      <w:r>
        <w:t xml:space="preserve">Tagesordnung </w:t>
      </w:r>
      <w:r w:rsidR="00371B9A">
        <w:t>der Sitzung des</w:t>
      </w:r>
      <w:r>
        <w:t xml:space="preserve"> Rechtsausschusses am 22. April 2026: </w:t>
      </w:r>
      <w:hyperlink r:id="rId25" w:history="1">
        <w:r w:rsidRPr="00072807">
          <w:rPr>
            <w:rStyle w:val="Hyperlink"/>
          </w:rPr>
          <w:t>https://www.bundesrat.de/SharedDocs/auschuesse-termine/r/termine-to/20260422-termin.htm</w:t>
        </w:r>
        <w:r w:rsidRPr="00072807">
          <w:rPr>
            <w:rStyle w:val="Hyperlink"/>
          </w:rPr>
          <w:t>l</w:t>
        </w:r>
        <w:r w:rsidRPr="00072807">
          <w:rPr>
            <w:rStyle w:val="Hyperlink"/>
          </w:rPr>
          <w:t>?nn=4353162</w:t>
        </w:r>
      </w:hyperlink>
    </w:p>
    <w:p w14:paraId="0CDB37AD" w14:textId="4D2572FD" w:rsidR="00371B9A" w:rsidRPr="00DC7799" w:rsidRDefault="00371B9A" w:rsidP="0015694B">
      <w:pPr>
        <w:autoSpaceDE w:val="0"/>
        <w:autoSpaceDN w:val="0"/>
        <w:adjustRightInd w:val="0"/>
        <w:spacing w:after="0" w:line="240" w:lineRule="auto"/>
      </w:pPr>
    </w:p>
    <w:p w14:paraId="28F6D7B7" w14:textId="5F7582B3" w:rsidR="0015694B" w:rsidRDefault="0015694B" w:rsidP="007F104B">
      <w:pPr>
        <w:pBdr>
          <w:bottom w:val="single" w:sz="6" w:space="1" w:color="auto"/>
        </w:pBdr>
      </w:pPr>
    </w:p>
    <w:p w14:paraId="35B8E18E" w14:textId="77777777" w:rsidR="00F430FD" w:rsidRPr="00130D95" w:rsidRDefault="00F430FD" w:rsidP="00130D95">
      <w:pPr>
        <w:rPr>
          <w:rFonts w:cstheme="minorHAnsi"/>
        </w:rPr>
      </w:pPr>
    </w:p>
    <w:p w14:paraId="2E09E9C4" w14:textId="6E73EBC1" w:rsidR="00551F43" w:rsidRPr="00AB61DB" w:rsidRDefault="00551F43" w:rsidP="00551F43">
      <w:pPr>
        <w:shd w:val="clear" w:color="auto" w:fill="D9D9D9" w:themeFill="background1" w:themeFillShade="D9"/>
        <w:jc w:val="center"/>
        <w:rPr>
          <w:b/>
          <w:sz w:val="32"/>
          <w:szCs w:val="32"/>
        </w:rPr>
      </w:pPr>
      <w:r>
        <w:rPr>
          <w:b/>
          <w:sz w:val="32"/>
          <w:szCs w:val="32"/>
        </w:rPr>
        <w:t>Bundestag</w:t>
      </w:r>
    </w:p>
    <w:p w14:paraId="54726022" w14:textId="42DEE55F" w:rsidR="007F104B" w:rsidRDefault="007F104B" w:rsidP="007F104B"/>
    <w:p w14:paraId="0E93F8BA" w14:textId="7F46D566" w:rsidR="007F104B" w:rsidRDefault="007F104B" w:rsidP="007F104B">
      <w:pPr>
        <w:shd w:val="clear" w:color="auto" w:fill="F2F2F2" w:themeFill="background1" w:themeFillShade="F2"/>
        <w:rPr>
          <w:b/>
          <w:sz w:val="24"/>
          <w:szCs w:val="24"/>
        </w:rPr>
      </w:pPr>
      <w:r>
        <w:rPr>
          <w:b/>
          <w:sz w:val="24"/>
          <w:szCs w:val="24"/>
        </w:rPr>
        <w:t>27</w:t>
      </w:r>
      <w:r w:rsidRPr="00D27E82">
        <w:rPr>
          <w:b/>
          <w:sz w:val="24"/>
          <w:szCs w:val="24"/>
        </w:rPr>
        <w:t xml:space="preserve">. Sitzung des </w:t>
      </w:r>
      <w:r w:rsidR="00405122">
        <w:rPr>
          <w:b/>
          <w:sz w:val="24"/>
          <w:szCs w:val="24"/>
        </w:rPr>
        <w:t>Ausschusses für Recht und Verbraucherschutz</w:t>
      </w:r>
      <w:r>
        <w:rPr>
          <w:b/>
          <w:sz w:val="24"/>
          <w:szCs w:val="24"/>
        </w:rPr>
        <w:t xml:space="preserve"> des </w:t>
      </w:r>
      <w:r w:rsidRPr="00D27E82">
        <w:rPr>
          <w:b/>
          <w:sz w:val="24"/>
          <w:szCs w:val="24"/>
        </w:rPr>
        <w:t xml:space="preserve">Deutschen Bundestages am </w:t>
      </w:r>
      <w:r>
        <w:rPr>
          <w:b/>
          <w:sz w:val="24"/>
          <w:szCs w:val="24"/>
        </w:rPr>
        <w:t>04. März 2026</w:t>
      </w:r>
    </w:p>
    <w:p w14:paraId="15AD393B" w14:textId="43E6A47F" w:rsidR="00FB5F0B" w:rsidRDefault="00FE029E" w:rsidP="00FE029E">
      <w:pPr>
        <w:autoSpaceDE w:val="0"/>
        <w:autoSpaceDN w:val="0"/>
        <w:adjustRightInd w:val="0"/>
        <w:spacing w:line="240" w:lineRule="auto"/>
        <w:rPr>
          <w:rFonts w:cstheme="minorHAnsi"/>
        </w:rPr>
      </w:pPr>
      <w:r>
        <w:rPr>
          <w:rFonts w:cstheme="minorHAnsi"/>
        </w:rPr>
        <w:t xml:space="preserve">Am </w:t>
      </w:r>
      <w:r w:rsidR="00FB5F0B">
        <w:rPr>
          <w:rFonts w:cstheme="minorHAnsi"/>
        </w:rPr>
        <w:t>04</w:t>
      </w:r>
      <w:r>
        <w:rPr>
          <w:rFonts w:cstheme="minorHAnsi"/>
        </w:rPr>
        <w:t>.03.202</w:t>
      </w:r>
      <w:r w:rsidR="00FB5F0B">
        <w:rPr>
          <w:rFonts w:cstheme="minorHAnsi"/>
        </w:rPr>
        <w:t>6</w:t>
      </w:r>
      <w:r w:rsidRPr="00142100">
        <w:rPr>
          <w:rFonts w:cstheme="minorHAnsi"/>
        </w:rPr>
        <w:t xml:space="preserve"> fand die </w:t>
      </w:r>
      <w:r w:rsidRPr="00726DD5">
        <w:rPr>
          <w:rFonts w:cstheme="minorHAnsi"/>
          <w:b/>
          <w:bCs/>
        </w:rPr>
        <w:t>öffentliche Anhörung</w:t>
      </w:r>
      <w:r w:rsidRPr="00142100">
        <w:rPr>
          <w:rFonts w:cstheme="minorHAnsi"/>
        </w:rPr>
        <w:t xml:space="preserve"> </w:t>
      </w:r>
      <w:r w:rsidRPr="000D36B5">
        <w:rPr>
          <w:rFonts w:cstheme="minorHAnsi"/>
        </w:rPr>
        <w:t xml:space="preserve">zum </w:t>
      </w:r>
      <w:r w:rsidR="00FB5F0B">
        <w:rPr>
          <w:rFonts w:cstheme="minorHAnsi"/>
        </w:rPr>
        <w:t>Gesetzentwurf der Bundesregierung</w:t>
      </w:r>
      <w:r>
        <w:rPr>
          <w:rFonts w:cstheme="minorHAnsi"/>
        </w:rPr>
        <w:t xml:space="preserve"> </w:t>
      </w:r>
      <w:r w:rsidR="00FB5F0B" w:rsidRPr="00FB5F0B">
        <w:rPr>
          <w:rFonts w:cstheme="minorHAnsi"/>
          <w:b/>
          <w:bCs/>
        </w:rPr>
        <w:t>Entwurf eines Gesetzes zur Einführung der elektronischen Aufenthaltsüberwachung und der Täterarbeit im Gewaltschutzgesetz</w:t>
      </w:r>
      <w:r w:rsidR="00FB5F0B">
        <w:rPr>
          <w:rFonts w:cstheme="minorHAnsi"/>
          <w:b/>
          <w:bCs/>
        </w:rPr>
        <w:t xml:space="preserve">, </w:t>
      </w:r>
      <w:r w:rsidR="00FB5F0B" w:rsidRPr="00054B47">
        <w:rPr>
          <w:rFonts w:cstheme="minorHAnsi"/>
        </w:rPr>
        <w:t>BT-Drucksache 2</w:t>
      </w:r>
      <w:r w:rsidR="00FB5F0B">
        <w:rPr>
          <w:rFonts w:cstheme="minorHAnsi"/>
        </w:rPr>
        <w:t>1</w:t>
      </w:r>
      <w:r w:rsidR="00FB5F0B" w:rsidRPr="00054B47">
        <w:rPr>
          <w:rFonts w:cstheme="minorHAnsi"/>
        </w:rPr>
        <w:t>/</w:t>
      </w:r>
      <w:r w:rsidR="00FB5F0B">
        <w:rPr>
          <w:rFonts w:cstheme="minorHAnsi"/>
        </w:rPr>
        <w:t xml:space="preserve">4082 </w:t>
      </w:r>
      <w:r w:rsidR="00FB5F0B" w:rsidRPr="00FB5F0B">
        <w:rPr>
          <w:rFonts w:cstheme="minorHAnsi"/>
        </w:rPr>
        <w:t>sowie zum Gesetzentwurf des Bundesrates</w:t>
      </w:r>
      <w:r w:rsidR="00FB5F0B">
        <w:rPr>
          <w:rFonts w:cstheme="minorHAnsi"/>
          <w:b/>
          <w:bCs/>
        </w:rPr>
        <w:t xml:space="preserve"> </w:t>
      </w:r>
      <w:r w:rsidR="00FB5F0B">
        <w:rPr>
          <w:b/>
          <w:bCs/>
        </w:rPr>
        <w:t>Entwurf eines Gesetzes zur Effektivierung des Gewaltschutzes in Hochrisikofällen</w:t>
      </w:r>
      <w:r>
        <w:rPr>
          <w:rFonts w:cstheme="minorHAnsi"/>
        </w:rPr>
        <w:t xml:space="preserve">, </w:t>
      </w:r>
      <w:r w:rsidRPr="00054B47">
        <w:rPr>
          <w:rFonts w:cstheme="minorHAnsi"/>
        </w:rPr>
        <w:t>BT-Drucksache 2</w:t>
      </w:r>
      <w:r>
        <w:rPr>
          <w:rFonts w:cstheme="minorHAnsi"/>
        </w:rPr>
        <w:t>1</w:t>
      </w:r>
      <w:r w:rsidRPr="00054B47">
        <w:rPr>
          <w:rFonts w:cstheme="minorHAnsi"/>
        </w:rPr>
        <w:t>/</w:t>
      </w:r>
      <w:r w:rsidR="00FB5F0B">
        <w:rPr>
          <w:rFonts w:cstheme="minorHAnsi"/>
        </w:rPr>
        <w:t>3068</w:t>
      </w:r>
      <w:r>
        <w:rPr>
          <w:rFonts w:cstheme="minorHAnsi"/>
        </w:rPr>
        <w:t>, statt.</w:t>
      </w:r>
    </w:p>
    <w:p w14:paraId="507C592E" w14:textId="77777777" w:rsidR="007A71ED" w:rsidRDefault="007A71ED" w:rsidP="007A71ED">
      <w:pPr>
        <w:rPr>
          <w:rFonts w:cstheme="minorHAnsi"/>
        </w:rPr>
      </w:pPr>
      <w:r w:rsidRPr="00130D95">
        <w:rPr>
          <w:rFonts w:cstheme="minorHAnsi"/>
        </w:rPr>
        <w:t xml:space="preserve">Mit dem Entwurf sollen einige wesentliche </w:t>
      </w:r>
      <w:r w:rsidRPr="00066332">
        <w:rPr>
          <w:rFonts w:cstheme="minorHAnsi"/>
          <w:b/>
          <w:bCs/>
        </w:rPr>
        <w:t>Verbesserungen auf dem Gebiet des zivilrechtlichen Gewaltschutzes</w:t>
      </w:r>
      <w:r w:rsidRPr="00130D95">
        <w:rPr>
          <w:rFonts w:cstheme="minorHAnsi"/>
        </w:rPr>
        <w:t xml:space="preserve"> vorgenommen</w:t>
      </w:r>
      <w:r>
        <w:rPr>
          <w:rFonts w:cstheme="minorHAnsi"/>
        </w:rPr>
        <w:t xml:space="preserve"> </w:t>
      </w:r>
      <w:r w:rsidRPr="00130D95">
        <w:rPr>
          <w:rFonts w:cstheme="minorHAnsi"/>
        </w:rPr>
        <w:t xml:space="preserve">werden: Zunächst soll die </w:t>
      </w:r>
      <w:r w:rsidRPr="00066332">
        <w:rPr>
          <w:rFonts w:cstheme="minorHAnsi"/>
          <w:b/>
          <w:bCs/>
        </w:rPr>
        <w:t>elektronische Aufenthaltsüberwachung (</w:t>
      </w:r>
      <w:proofErr w:type="spellStart"/>
      <w:r w:rsidRPr="00066332">
        <w:rPr>
          <w:rFonts w:cstheme="minorHAnsi"/>
          <w:b/>
          <w:bCs/>
        </w:rPr>
        <w:t>eAÜ</w:t>
      </w:r>
      <w:proofErr w:type="spellEnd"/>
      <w:r w:rsidRPr="00066332">
        <w:rPr>
          <w:rFonts w:cstheme="minorHAnsi"/>
          <w:b/>
          <w:bCs/>
        </w:rPr>
        <w:t xml:space="preserve">) im Gewaltschutzgesetz (GewSchG) </w:t>
      </w:r>
      <w:r w:rsidRPr="00130D95">
        <w:rPr>
          <w:rFonts w:cstheme="minorHAnsi"/>
        </w:rPr>
        <w:t>verankert werden</w:t>
      </w:r>
      <w:r>
        <w:rPr>
          <w:rFonts w:cstheme="minorHAnsi"/>
        </w:rPr>
        <w:t xml:space="preserve">. Zudem </w:t>
      </w:r>
      <w:r w:rsidRPr="00130D95">
        <w:rPr>
          <w:rFonts w:cstheme="minorHAnsi"/>
        </w:rPr>
        <w:t xml:space="preserve">wird eine Rechtsgrundlage für die </w:t>
      </w:r>
      <w:r w:rsidRPr="00066332">
        <w:rPr>
          <w:rFonts w:cstheme="minorHAnsi"/>
          <w:b/>
          <w:bCs/>
        </w:rPr>
        <w:t>Verpflichtung von Tätern zur Teilnahme an sozialen Trainingskursen</w:t>
      </w:r>
      <w:r w:rsidRPr="00130D95">
        <w:rPr>
          <w:rFonts w:cstheme="minorHAnsi"/>
        </w:rPr>
        <w:t xml:space="preserve"> (sog. Täterarbeit) und an</w:t>
      </w:r>
      <w:r>
        <w:rPr>
          <w:rFonts w:cstheme="minorHAnsi"/>
        </w:rPr>
        <w:t xml:space="preserve"> G</w:t>
      </w:r>
      <w:r w:rsidRPr="00130D95">
        <w:rPr>
          <w:rFonts w:cstheme="minorHAnsi"/>
        </w:rPr>
        <w:t>ewaltpräventionsberatungen normiert. Des Weiteren wird der</w:t>
      </w:r>
      <w:r>
        <w:rPr>
          <w:rFonts w:cstheme="minorHAnsi"/>
        </w:rPr>
        <w:t xml:space="preserve"> </w:t>
      </w:r>
      <w:r w:rsidRPr="00130D95">
        <w:rPr>
          <w:rFonts w:cstheme="minorHAnsi"/>
        </w:rPr>
        <w:t>Strafrahmen für Zuwiderhandlungen gegen Gewaltschutzanordnungen</w:t>
      </w:r>
      <w:r>
        <w:rPr>
          <w:rFonts w:cstheme="minorHAnsi"/>
        </w:rPr>
        <w:t xml:space="preserve"> </w:t>
      </w:r>
      <w:r w:rsidRPr="00130D95">
        <w:rPr>
          <w:rFonts w:cstheme="minorHAnsi"/>
        </w:rPr>
        <w:t>erhöht und Familiengerichte erhalten zur Gefährdungsanalyse</w:t>
      </w:r>
      <w:r>
        <w:rPr>
          <w:rFonts w:cstheme="minorHAnsi"/>
        </w:rPr>
        <w:t xml:space="preserve"> </w:t>
      </w:r>
      <w:r w:rsidRPr="00130D95">
        <w:rPr>
          <w:rFonts w:cstheme="minorHAnsi"/>
        </w:rPr>
        <w:t>in Gewaltschutz- und Kindschaftssachen die Möglichkeit für Auskünfte</w:t>
      </w:r>
      <w:r>
        <w:rPr>
          <w:rFonts w:cstheme="minorHAnsi"/>
        </w:rPr>
        <w:t xml:space="preserve"> </w:t>
      </w:r>
      <w:r w:rsidRPr="00130D95">
        <w:rPr>
          <w:rFonts w:cstheme="minorHAnsi"/>
        </w:rPr>
        <w:t>aus dem Waffenregister.</w:t>
      </w:r>
      <w:r>
        <w:rPr>
          <w:rFonts w:cstheme="minorHAnsi"/>
        </w:rPr>
        <w:t xml:space="preserve"> </w:t>
      </w:r>
      <w:r w:rsidRPr="00130D95">
        <w:rPr>
          <w:rFonts w:cstheme="minorHAnsi"/>
        </w:rPr>
        <w:t>Der GE sieht vor, dass die Durchführung der elektronischen</w:t>
      </w:r>
      <w:r>
        <w:rPr>
          <w:rFonts w:cstheme="minorHAnsi"/>
        </w:rPr>
        <w:t xml:space="preserve"> </w:t>
      </w:r>
      <w:r w:rsidRPr="00130D95">
        <w:rPr>
          <w:rFonts w:cstheme="minorHAnsi"/>
        </w:rPr>
        <w:t xml:space="preserve">Aufenthaltsüberwachung durch </w:t>
      </w:r>
      <w:r>
        <w:rPr>
          <w:rFonts w:cstheme="minorHAnsi"/>
        </w:rPr>
        <w:t>L</w:t>
      </w:r>
      <w:r w:rsidRPr="00130D95">
        <w:rPr>
          <w:rFonts w:cstheme="minorHAnsi"/>
        </w:rPr>
        <w:t>andeskoordinierungsstellen</w:t>
      </w:r>
      <w:r>
        <w:rPr>
          <w:rFonts w:cstheme="minorHAnsi"/>
        </w:rPr>
        <w:t xml:space="preserve"> </w:t>
      </w:r>
      <w:r w:rsidRPr="00130D95">
        <w:rPr>
          <w:rFonts w:cstheme="minorHAnsi"/>
        </w:rPr>
        <w:t>erfolgen soll, welche auch durch Rechtsverordnung bestimmt</w:t>
      </w:r>
      <w:r>
        <w:rPr>
          <w:rFonts w:cstheme="minorHAnsi"/>
        </w:rPr>
        <w:t xml:space="preserve"> </w:t>
      </w:r>
      <w:r w:rsidRPr="00130D95">
        <w:rPr>
          <w:rFonts w:cstheme="minorHAnsi"/>
        </w:rPr>
        <w:t>werden können. Die Aufgaben der jeweiligen Koordinierungsstellen</w:t>
      </w:r>
      <w:r>
        <w:rPr>
          <w:rFonts w:cstheme="minorHAnsi"/>
        </w:rPr>
        <w:t xml:space="preserve"> </w:t>
      </w:r>
      <w:r w:rsidRPr="00130D95">
        <w:rPr>
          <w:rFonts w:cstheme="minorHAnsi"/>
        </w:rPr>
        <w:t xml:space="preserve">sollen auch auf andere Stellen </w:t>
      </w:r>
      <w:r>
        <w:rPr>
          <w:rFonts w:cstheme="minorHAnsi"/>
        </w:rPr>
        <w:t>ü</w:t>
      </w:r>
      <w:r w:rsidRPr="00130D95">
        <w:rPr>
          <w:rFonts w:cstheme="minorHAnsi"/>
        </w:rPr>
        <w:t>bertragen werden können.</w:t>
      </w:r>
      <w:r>
        <w:rPr>
          <w:rFonts w:cstheme="minorHAnsi"/>
        </w:rPr>
        <w:t xml:space="preserve"> </w:t>
      </w:r>
      <w:r w:rsidRPr="00130D95">
        <w:rPr>
          <w:rFonts w:cstheme="minorHAnsi"/>
        </w:rPr>
        <w:t>Es besteht Einigkeit zwischen den Ländern, dass Teile der Aufgaben</w:t>
      </w:r>
      <w:r>
        <w:rPr>
          <w:rFonts w:cstheme="minorHAnsi"/>
        </w:rPr>
        <w:t xml:space="preserve"> </w:t>
      </w:r>
      <w:r w:rsidRPr="00130D95">
        <w:rPr>
          <w:rFonts w:cstheme="minorHAnsi"/>
        </w:rPr>
        <w:t>auf die bereits im Rahmen der Führungsaufsicht in Hessen eingerichteten</w:t>
      </w:r>
      <w:r>
        <w:rPr>
          <w:rFonts w:cstheme="minorHAnsi"/>
        </w:rPr>
        <w:t xml:space="preserve"> </w:t>
      </w:r>
      <w:r w:rsidRPr="00130D95">
        <w:rPr>
          <w:rFonts w:cstheme="minorHAnsi"/>
        </w:rPr>
        <w:t>Gemeinsame Überwachungsstelle der Länder (GÜL)</w:t>
      </w:r>
      <w:r>
        <w:rPr>
          <w:rFonts w:cstheme="minorHAnsi"/>
        </w:rPr>
        <w:t xml:space="preserve"> </w:t>
      </w:r>
      <w:r w:rsidRPr="00130D95">
        <w:rPr>
          <w:rFonts w:cstheme="minorHAnsi"/>
        </w:rPr>
        <w:t>erfolgen soll.</w:t>
      </w:r>
      <w:r>
        <w:rPr>
          <w:rFonts w:cstheme="minorHAnsi"/>
        </w:rPr>
        <w:t xml:space="preserve"> </w:t>
      </w:r>
      <w:r w:rsidRPr="00130D95">
        <w:rPr>
          <w:rFonts w:cstheme="minorHAnsi"/>
        </w:rPr>
        <w:t>Das Inkrafttreten des GE ist für das vierte Quartal nach der</w:t>
      </w:r>
      <w:r>
        <w:rPr>
          <w:rFonts w:cstheme="minorHAnsi"/>
        </w:rPr>
        <w:t xml:space="preserve"> </w:t>
      </w:r>
      <w:r w:rsidRPr="00130D95">
        <w:rPr>
          <w:rFonts w:cstheme="minorHAnsi"/>
        </w:rPr>
        <w:t>Verkündung vorgesehen.</w:t>
      </w:r>
    </w:p>
    <w:p w14:paraId="024168DE" w14:textId="6A9A8589" w:rsidR="007A71ED" w:rsidRDefault="007A71ED" w:rsidP="00FE029E">
      <w:pPr>
        <w:autoSpaceDE w:val="0"/>
        <w:autoSpaceDN w:val="0"/>
        <w:adjustRightInd w:val="0"/>
        <w:spacing w:line="240" w:lineRule="auto"/>
        <w:rPr>
          <w:rFonts w:cstheme="minorHAnsi"/>
        </w:rPr>
      </w:pPr>
      <w:r>
        <w:rPr>
          <w:rFonts w:cstheme="minorHAnsi"/>
        </w:rPr>
        <w:lastRenderedPageBreak/>
        <w:t xml:space="preserve">Aus dem Kreis der </w:t>
      </w:r>
      <w:r w:rsidRPr="007A71ED">
        <w:rPr>
          <w:rFonts w:cstheme="minorHAnsi"/>
          <w:b/>
          <w:bCs/>
        </w:rPr>
        <w:t>Sachverständigen</w:t>
      </w:r>
      <w:r>
        <w:rPr>
          <w:rFonts w:cstheme="minorHAnsi"/>
        </w:rPr>
        <w:t xml:space="preserve"> wurden die Maßnahmen zur Stärkung des Opferschutzes überwiegend begrüßt. Zudem wiese Sachverständige auf die Belastungen für die Familiengerichte hin und forderten einheitliche Standards für die Gefährdungsanalysen und die Täterarbeit.</w:t>
      </w:r>
    </w:p>
    <w:p w14:paraId="2479C37C" w14:textId="2139DD2C" w:rsidR="000E7B1A" w:rsidRPr="007A71ED" w:rsidRDefault="007A71ED" w:rsidP="000E7B1A">
      <w:pPr>
        <w:rPr>
          <w:b/>
          <w:bCs/>
        </w:rPr>
      </w:pPr>
      <w:r>
        <w:rPr>
          <w:b/>
          <w:bCs/>
        </w:rPr>
        <w:t>Ergänzende</w:t>
      </w:r>
      <w:r w:rsidR="00FB5F0B" w:rsidRPr="007A71ED">
        <w:rPr>
          <w:b/>
          <w:bCs/>
        </w:rPr>
        <w:t xml:space="preserve"> Informationen und Aufzeichnung der Anhörung: </w:t>
      </w:r>
    </w:p>
    <w:p w14:paraId="79E76F89" w14:textId="0B92D008" w:rsidR="00FB5F0B" w:rsidRDefault="00FB5F0B" w:rsidP="000E7B1A">
      <w:hyperlink r:id="rId26" w:history="1">
        <w:r w:rsidRPr="006448DD">
          <w:rPr>
            <w:rStyle w:val="Hyperlink"/>
          </w:rPr>
          <w:t>https://www.bundestag.de/dokumente/textarchiv/2026/kw10-pa-recht-1145370</w:t>
        </w:r>
      </w:hyperlink>
    </w:p>
    <w:p w14:paraId="7C12525D" w14:textId="0B9609E3" w:rsidR="007F104B" w:rsidRDefault="007F104B" w:rsidP="004B2A45">
      <w:pPr>
        <w:shd w:val="clear" w:color="auto" w:fill="F2F2F2" w:themeFill="background1" w:themeFillShade="F2"/>
        <w:rPr>
          <w:b/>
          <w:sz w:val="24"/>
          <w:szCs w:val="24"/>
        </w:rPr>
      </w:pPr>
      <w:r>
        <w:rPr>
          <w:b/>
          <w:sz w:val="24"/>
          <w:szCs w:val="24"/>
        </w:rPr>
        <w:t>2</w:t>
      </w:r>
      <w:r w:rsidR="000E7B1A">
        <w:rPr>
          <w:b/>
          <w:sz w:val="24"/>
          <w:szCs w:val="24"/>
        </w:rPr>
        <w:t>8</w:t>
      </w:r>
      <w:r w:rsidRPr="00D27E82">
        <w:rPr>
          <w:b/>
          <w:sz w:val="24"/>
          <w:szCs w:val="24"/>
        </w:rPr>
        <w:t xml:space="preserve">. Sitzung des </w:t>
      </w:r>
      <w:r w:rsidR="00405122">
        <w:rPr>
          <w:b/>
          <w:sz w:val="24"/>
          <w:szCs w:val="24"/>
        </w:rPr>
        <w:t>Ausschusses für Recht und Verbraucherschutz</w:t>
      </w:r>
      <w:r>
        <w:rPr>
          <w:b/>
          <w:sz w:val="24"/>
          <w:szCs w:val="24"/>
        </w:rPr>
        <w:t xml:space="preserve"> des </w:t>
      </w:r>
      <w:r w:rsidRPr="00D27E82">
        <w:rPr>
          <w:b/>
          <w:sz w:val="24"/>
          <w:szCs w:val="24"/>
        </w:rPr>
        <w:t xml:space="preserve">Deutschen Bundestages am </w:t>
      </w:r>
      <w:r w:rsidR="000E7B1A">
        <w:rPr>
          <w:b/>
          <w:sz w:val="24"/>
          <w:szCs w:val="24"/>
        </w:rPr>
        <w:t>16</w:t>
      </w:r>
      <w:r>
        <w:rPr>
          <w:b/>
          <w:sz w:val="24"/>
          <w:szCs w:val="24"/>
        </w:rPr>
        <w:t>. März 2026</w:t>
      </w:r>
    </w:p>
    <w:p w14:paraId="77433CFD" w14:textId="09D17E7B" w:rsidR="00EE62D4" w:rsidRDefault="00EE62D4" w:rsidP="00EE62D4">
      <w:pPr>
        <w:autoSpaceDE w:val="0"/>
        <w:autoSpaceDN w:val="0"/>
        <w:adjustRightInd w:val="0"/>
        <w:spacing w:line="240" w:lineRule="auto"/>
        <w:rPr>
          <w:rFonts w:cstheme="minorHAnsi"/>
        </w:rPr>
      </w:pPr>
      <w:r>
        <w:rPr>
          <w:rFonts w:cstheme="minorHAnsi"/>
        </w:rPr>
        <w:t xml:space="preserve">Am </w:t>
      </w:r>
      <w:r w:rsidR="00483E38">
        <w:rPr>
          <w:rFonts w:cstheme="minorHAnsi"/>
        </w:rPr>
        <w:t>16</w:t>
      </w:r>
      <w:r>
        <w:rPr>
          <w:rFonts w:cstheme="minorHAnsi"/>
        </w:rPr>
        <w:t>.03.2026</w:t>
      </w:r>
      <w:r w:rsidRPr="00142100">
        <w:rPr>
          <w:rFonts w:cstheme="minorHAnsi"/>
        </w:rPr>
        <w:t xml:space="preserve"> fand die </w:t>
      </w:r>
      <w:r w:rsidRPr="00726DD5">
        <w:rPr>
          <w:rFonts w:cstheme="minorHAnsi"/>
          <w:b/>
          <w:bCs/>
        </w:rPr>
        <w:t>öffentliche Anhörung</w:t>
      </w:r>
      <w:r w:rsidRPr="00142100">
        <w:rPr>
          <w:rFonts w:cstheme="minorHAnsi"/>
        </w:rPr>
        <w:t xml:space="preserve"> </w:t>
      </w:r>
      <w:r w:rsidRPr="000D36B5">
        <w:rPr>
          <w:rFonts w:cstheme="minorHAnsi"/>
        </w:rPr>
        <w:t xml:space="preserve">zum </w:t>
      </w:r>
      <w:r>
        <w:rPr>
          <w:rFonts w:cstheme="minorHAnsi"/>
        </w:rPr>
        <w:t xml:space="preserve">Gesetzentwurf der Bundesregierung </w:t>
      </w:r>
      <w:r w:rsidRPr="00EE62D4">
        <w:rPr>
          <w:rFonts w:cstheme="minorHAnsi"/>
          <w:b/>
          <w:bCs/>
        </w:rPr>
        <w:t>Entwurf eines Gesetzes zur Umsetzung der</w:t>
      </w:r>
      <w:r>
        <w:rPr>
          <w:rFonts w:cstheme="minorHAnsi"/>
          <w:b/>
          <w:bCs/>
        </w:rPr>
        <w:t xml:space="preserve"> </w:t>
      </w:r>
      <w:r w:rsidRPr="00EE62D4">
        <w:rPr>
          <w:rFonts w:cstheme="minorHAnsi"/>
          <w:b/>
          <w:bCs/>
        </w:rPr>
        <w:t>Richtlinie (EU) 2024/1069 über den Schutz von</w:t>
      </w:r>
      <w:r>
        <w:rPr>
          <w:rFonts w:cstheme="minorHAnsi"/>
          <w:b/>
          <w:bCs/>
        </w:rPr>
        <w:t xml:space="preserve"> </w:t>
      </w:r>
      <w:r w:rsidRPr="00EE62D4">
        <w:rPr>
          <w:rFonts w:cstheme="minorHAnsi"/>
          <w:b/>
          <w:bCs/>
        </w:rPr>
        <w:t>Personen, die sich öffentlich beteiligen, vor</w:t>
      </w:r>
      <w:r>
        <w:rPr>
          <w:rFonts w:cstheme="minorHAnsi"/>
          <w:b/>
          <w:bCs/>
        </w:rPr>
        <w:t xml:space="preserve"> </w:t>
      </w:r>
      <w:r w:rsidRPr="00EE62D4">
        <w:rPr>
          <w:rFonts w:cstheme="minorHAnsi"/>
          <w:b/>
          <w:bCs/>
        </w:rPr>
        <w:t>offensichtlich unbegründeten Klagen oder</w:t>
      </w:r>
      <w:r>
        <w:rPr>
          <w:rFonts w:cstheme="minorHAnsi"/>
          <w:b/>
          <w:bCs/>
        </w:rPr>
        <w:t xml:space="preserve"> </w:t>
      </w:r>
      <w:r w:rsidRPr="00EE62D4">
        <w:rPr>
          <w:rFonts w:cstheme="minorHAnsi"/>
          <w:b/>
          <w:bCs/>
        </w:rPr>
        <w:t>missbräuchlichen Gerichtsverfahren</w:t>
      </w:r>
      <w:r>
        <w:rPr>
          <w:rFonts w:cstheme="minorHAnsi"/>
          <w:b/>
          <w:bCs/>
        </w:rPr>
        <w:t xml:space="preserve">, </w:t>
      </w:r>
      <w:r w:rsidRPr="00054B47">
        <w:rPr>
          <w:rFonts w:cstheme="minorHAnsi"/>
        </w:rPr>
        <w:t>BT-Drucksache 2</w:t>
      </w:r>
      <w:r>
        <w:rPr>
          <w:rFonts w:cstheme="minorHAnsi"/>
        </w:rPr>
        <w:t>1</w:t>
      </w:r>
      <w:r w:rsidRPr="00054B47">
        <w:rPr>
          <w:rFonts w:cstheme="minorHAnsi"/>
        </w:rPr>
        <w:t>/</w:t>
      </w:r>
      <w:r>
        <w:rPr>
          <w:rFonts w:cstheme="minorHAnsi"/>
        </w:rPr>
        <w:t>3942</w:t>
      </w:r>
      <w:r>
        <w:rPr>
          <w:rFonts w:cstheme="minorHAnsi"/>
        </w:rPr>
        <w:t xml:space="preserve"> </w:t>
      </w:r>
    </w:p>
    <w:p w14:paraId="026E916F" w14:textId="17BA9FEE" w:rsidR="00EE62D4" w:rsidRDefault="00EE62D4" w:rsidP="00EE62D4">
      <w:pPr>
        <w:autoSpaceDE w:val="0"/>
        <w:autoSpaceDN w:val="0"/>
        <w:adjustRightInd w:val="0"/>
        <w:spacing w:after="0" w:line="240" w:lineRule="auto"/>
        <w:rPr>
          <w:rFonts w:ascii="OpenSans,Bold" w:hAnsi="OpenSans,Bold" w:cs="OpenSans,Bold"/>
          <w:b/>
          <w:bCs/>
        </w:rPr>
      </w:pPr>
      <w:r>
        <w:rPr>
          <w:rFonts w:ascii="OpenSans" w:hAnsi="OpenSans" w:cs="OpenSans"/>
        </w:rPr>
        <w:t xml:space="preserve">Der GE dient der </w:t>
      </w:r>
      <w:r>
        <w:rPr>
          <w:rFonts w:ascii="OpenSans,Bold" w:hAnsi="OpenSans,Bold" w:cs="OpenSans,Bold"/>
          <w:b/>
          <w:bCs/>
        </w:rPr>
        <w:t xml:space="preserve">Umsetzung der sog. „Anti-SLAPP-Richtlinie“ </w:t>
      </w:r>
      <w:r>
        <w:rPr>
          <w:rFonts w:ascii="OpenSans" w:hAnsi="OpenSans" w:cs="OpenSans"/>
        </w:rPr>
        <w:t>(Richtlinie (EU) 2024/1069 mit einer Umsetzung</w:t>
      </w:r>
      <w:r>
        <w:rPr>
          <w:rFonts w:ascii="OpenSans" w:hAnsi="OpenSans" w:cs="OpenSans"/>
        </w:rPr>
        <w:t>s</w:t>
      </w:r>
      <w:r>
        <w:rPr>
          <w:rFonts w:ascii="OpenSans" w:hAnsi="OpenSans" w:cs="OpenSans"/>
        </w:rPr>
        <w:t xml:space="preserve">frist bis zum 07.05.2026. </w:t>
      </w:r>
      <w:r>
        <w:rPr>
          <w:rFonts w:ascii="OpenSans,Bold" w:hAnsi="OpenSans,Bold" w:cs="OpenSans,Bold"/>
          <w:b/>
          <w:bCs/>
        </w:rPr>
        <w:t>SLAPP-Klagen sollen Personen wegen ihrer Beteiligung am öffentlichen Meinungsbildungsprozess einschüchtern, indem ihre zeitlichen wie finanziellen</w:t>
      </w:r>
    </w:p>
    <w:p w14:paraId="66CDF264" w14:textId="33E4C413" w:rsidR="00EE62D4" w:rsidRDefault="00EE62D4" w:rsidP="00EE62D4">
      <w:pPr>
        <w:autoSpaceDE w:val="0"/>
        <w:autoSpaceDN w:val="0"/>
        <w:adjustRightInd w:val="0"/>
        <w:spacing w:after="0" w:line="240" w:lineRule="auto"/>
        <w:rPr>
          <w:rFonts w:ascii="OpenSans" w:hAnsi="OpenSans" w:cs="OpenSans"/>
        </w:rPr>
      </w:pPr>
      <w:r>
        <w:rPr>
          <w:rFonts w:ascii="OpenSans,Bold" w:hAnsi="OpenSans,Bold" w:cs="OpenSans,Bold"/>
          <w:b/>
          <w:bCs/>
        </w:rPr>
        <w:t>Ressourcen in der Rechtsverteidigung gebunden werden</w:t>
      </w:r>
      <w:r>
        <w:rPr>
          <w:rFonts w:ascii="OpenSans" w:hAnsi="OpenSans" w:cs="OpenSans"/>
        </w:rPr>
        <w:t xml:space="preserve">. Der Gesetzentwurf zielt darauf ab, Zivil- und Arbeitsgerichten die </w:t>
      </w:r>
      <w:r>
        <w:rPr>
          <w:rFonts w:ascii="OpenSans,Bold" w:hAnsi="OpenSans,Bold" w:cs="OpenSans,Bold"/>
          <w:b/>
          <w:bCs/>
        </w:rPr>
        <w:t xml:space="preserve">beschleunigte Durchführung solcher Verfahren sowie eine kostenrechtliche Sanktionierung von SLAPP-Klägern </w:t>
      </w:r>
      <w:r>
        <w:rPr>
          <w:rFonts w:ascii="OpenSans" w:hAnsi="OpenSans" w:cs="OpenSans"/>
        </w:rPr>
        <w:t>zu ermöglichen. Über die nach geltendem Recht grundsätzlich bestehende Kostentragungspflicht für unterlegene Prozessparteien hinaus betrifft dies namentlich die Möglichkeit der weitergehenden Kostenerstattung zugunsten betroffener Beklagter, die Ausweitung der Verpflichtung zur Leistung von Prozesskostensicherheit sowie Möglichkeiten weitergehender gerichtlicher Sanktionen oder vergleichbar wirksamer Maßnahmen bei missbräuchlich angestrengten Rechtsstreitigkeiten. Der GE umfasst nur SLAPP-Konstellationen mit einem grenzüberschreitenden Bezug.</w:t>
      </w:r>
    </w:p>
    <w:p w14:paraId="05D8CBF8" w14:textId="77777777" w:rsidR="00EE62D4" w:rsidRDefault="00EE62D4" w:rsidP="00EE62D4">
      <w:pPr>
        <w:autoSpaceDE w:val="0"/>
        <w:autoSpaceDN w:val="0"/>
        <w:adjustRightInd w:val="0"/>
        <w:spacing w:after="0" w:line="240" w:lineRule="auto"/>
        <w:rPr>
          <w:rFonts w:ascii="OpenSans" w:hAnsi="OpenSans" w:cs="OpenSans"/>
        </w:rPr>
      </w:pPr>
    </w:p>
    <w:p w14:paraId="1CE8F675" w14:textId="4E85599F" w:rsidR="00EE62D4" w:rsidRDefault="00EE62D4" w:rsidP="00EE62D4">
      <w:pPr>
        <w:autoSpaceDE w:val="0"/>
        <w:autoSpaceDN w:val="0"/>
        <w:adjustRightInd w:val="0"/>
        <w:spacing w:line="240" w:lineRule="auto"/>
        <w:rPr>
          <w:rFonts w:cstheme="minorHAnsi"/>
        </w:rPr>
      </w:pPr>
      <w:r>
        <w:rPr>
          <w:rFonts w:cstheme="minorHAnsi"/>
        </w:rPr>
        <w:t xml:space="preserve">Die </w:t>
      </w:r>
      <w:r w:rsidRPr="00F91D07">
        <w:rPr>
          <w:rFonts w:cstheme="minorHAnsi"/>
          <w:b/>
          <w:bCs/>
        </w:rPr>
        <w:t>Sachverständigen</w:t>
      </w:r>
      <w:r>
        <w:rPr>
          <w:rFonts w:cstheme="minorHAnsi"/>
        </w:rPr>
        <w:t xml:space="preserve"> schätzen den GE sehr unterschiedlich ein. Teilweise wurde der Regelungsbedarf im deutschen Recht verneint. Andere Sachverständige wiesen darauf hin, dass der vorgerichtliche Bereich (Abmahnungen) einer Regulierung bedürfe, um die Beteiligung am öffentlichen Meinungsbildungsprozess besser zu schützen. Weiterhin wurde </w:t>
      </w:r>
      <w:r w:rsidR="00F91D07">
        <w:rPr>
          <w:rFonts w:cstheme="minorHAnsi"/>
        </w:rPr>
        <w:t xml:space="preserve">z.T. </w:t>
      </w:r>
      <w:r>
        <w:rPr>
          <w:rFonts w:cstheme="minorHAnsi"/>
        </w:rPr>
        <w:t>kritisiert, dass nur Konstellationen mit grenzüberschreitendem Bezug in den Anwendungsbereich des Gesetzes fallen sollen.</w:t>
      </w:r>
    </w:p>
    <w:p w14:paraId="23A1BC9B" w14:textId="74934A0E" w:rsidR="000E7B1A" w:rsidRPr="00EE62D4" w:rsidRDefault="00EE62D4" w:rsidP="000E7B1A">
      <w:pPr>
        <w:rPr>
          <w:b/>
          <w:bCs/>
        </w:rPr>
      </w:pPr>
      <w:r>
        <w:rPr>
          <w:b/>
          <w:bCs/>
        </w:rPr>
        <w:t>Er</w:t>
      </w:r>
      <w:r>
        <w:rPr>
          <w:b/>
          <w:bCs/>
        </w:rPr>
        <w:t>g</w:t>
      </w:r>
      <w:r>
        <w:rPr>
          <w:b/>
          <w:bCs/>
        </w:rPr>
        <w:t>änzende</w:t>
      </w:r>
      <w:r w:rsidRPr="007A71ED">
        <w:rPr>
          <w:b/>
          <w:bCs/>
        </w:rPr>
        <w:t xml:space="preserve"> Informationen und Aufzeichnung der Anhörung: </w:t>
      </w:r>
    </w:p>
    <w:p w14:paraId="7EDC9009" w14:textId="2F763099" w:rsidR="00DD1906" w:rsidRDefault="00EE62D4" w:rsidP="00DD1906">
      <w:hyperlink r:id="rId27" w:history="1">
        <w:r w:rsidRPr="006448DD">
          <w:rPr>
            <w:rStyle w:val="Hyperlink"/>
          </w:rPr>
          <w:t>https://www.bundestag.de/dokumente/textarchiv/2026/kw12-pa-recht-1151424</w:t>
        </w:r>
      </w:hyperlink>
    </w:p>
    <w:p w14:paraId="21DA4C6F" w14:textId="72828161" w:rsidR="00DD1906" w:rsidRDefault="00DD1906" w:rsidP="00DD1906">
      <w:pPr>
        <w:shd w:val="clear" w:color="auto" w:fill="F2F2F2" w:themeFill="background1" w:themeFillShade="F2"/>
        <w:rPr>
          <w:b/>
          <w:sz w:val="24"/>
          <w:szCs w:val="24"/>
        </w:rPr>
      </w:pPr>
      <w:r>
        <w:rPr>
          <w:b/>
          <w:sz w:val="24"/>
          <w:szCs w:val="24"/>
        </w:rPr>
        <w:t>31</w:t>
      </w:r>
      <w:r w:rsidRPr="00D27E82">
        <w:rPr>
          <w:b/>
          <w:sz w:val="24"/>
          <w:szCs w:val="24"/>
        </w:rPr>
        <w:t xml:space="preserve">. Sitzung des </w:t>
      </w:r>
      <w:r w:rsidR="00405122">
        <w:rPr>
          <w:b/>
          <w:sz w:val="24"/>
          <w:szCs w:val="24"/>
        </w:rPr>
        <w:t>Ausschusses für Recht und Verbraucherschutz</w:t>
      </w:r>
      <w:r>
        <w:rPr>
          <w:b/>
          <w:sz w:val="24"/>
          <w:szCs w:val="24"/>
        </w:rPr>
        <w:t xml:space="preserve"> des </w:t>
      </w:r>
      <w:r w:rsidRPr="00D27E82">
        <w:rPr>
          <w:b/>
          <w:sz w:val="24"/>
          <w:szCs w:val="24"/>
        </w:rPr>
        <w:t xml:space="preserve">Deutschen Bundestages am </w:t>
      </w:r>
      <w:r>
        <w:rPr>
          <w:b/>
          <w:sz w:val="24"/>
          <w:szCs w:val="24"/>
        </w:rPr>
        <w:t>13. April 2026</w:t>
      </w:r>
    </w:p>
    <w:p w14:paraId="00B06640" w14:textId="12328A6B" w:rsidR="00483E38" w:rsidRDefault="00483E38" w:rsidP="00483E38">
      <w:pPr>
        <w:autoSpaceDE w:val="0"/>
        <w:autoSpaceDN w:val="0"/>
        <w:adjustRightInd w:val="0"/>
        <w:spacing w:line="240" w:lineRule="auto"/>
        <w:rPr>
          <w:rFonts w:cstheme="minorHAnsi"/>
        </w:rPr>
      </w:pPr>
      <w:r>
        <w:rPr>
          <w:rFonts w:cstheme="minorHAnsi"/>
        </w:rPr>
        <w:t xml:space="preserve">Am </w:t>
      </w:r>
      <w:r>
        <w:rPr>
          <w:rFonts w:cstheme="minorHAnsi"/>
        </w:rPr>
        <w:t>13</w:t>
      </w:r>
      <w:r>
        <w:rPr>
          <w:rFonts w:cstheme="minorHAnsi"/>
        </w:rPr>
        <w:t>.0</w:t>
      </w:r>
      <w:r>
        <w:rPr>
          <w:rFonts w:cstheme="minorHAnsi"/>
        </w:rPr>
        <w:t>4</w:t>
      </w:r>
      <w:r>
        <w:rPr>
          <w:rFonts w:cstheme="minorHAnsi"/>
        </w:rPr>
        <w:t>.2026</w:t>
      </w:r>
      <w:r w:rsidRPr="00142100">
        <w:rPr>
          <w:rFonts w:cstheme="minorHAnsi"/>
        </w:rPr>
        <w:t xml:space="preserve"> fand die </w:t>
      </w:r>
      <w:r w:rsidRPr="00726DD5">
        <w:rPr>
          <w:rFonts w:cstheme="minorHAnsi"/>
          <w:b/>
          <w:bCs/>
        </w:rPr>
        <w:t>öffentliche Anhörung</w:t>
      </w:r>
      <w:r w:rsidRPr="00142100">
        <w:rPr>
          <w:rFonts w:cstheme="minorHAnsi"/>
        </w:rPr>
        <w:t xml:space="preserve"> </w:t>
      </w:r>
      <w:r w:rsidRPr="000D36B5">
        <w:rPr>
          <w:rFonts w:cstheme="minorHAnsi"/>
        </w:rPr>
        <w:t xml:space="preserve">zum </w:t>
      </w:r>
      <w:r>
        <w:rPr>
          <w:rFonts w:cstheme="minorHAnsi"/>
        </w:rPr>
        <w:t xml:space="preserve">Gesetzentwurf der Bundesregierung </w:t>
      </w:r>
      <w:r w:rsidRPr="00483E38">
        <w:rPr>
          <w:rFonts w:cstheme="minorHAnsi"/>
          <w:b/>
          <w:bCs/>
        </w:rPr>
        <w:t>Entwurf eines Gesetzes zur Modernisierung des</w:t>
      </w:r>
      <w:r w:rsidRPr="00483E38">
        <w:rPr>
          <w:rFonts w:cstheme="minorHAnsi"/>
          <w:b/>
          <w:bCs/>
        </w:rPr>
        <w:t xml:space="preserve"> </w:t>
      </w:r>
      <w:r w:rsidRPr="00483E38">
        <w:rPr>
          <w:rFonts w:cstheme="minorHAnsi"/>
          <w:b/>
          <w:bCs/>
        </w:rPr>
        <w:t>Produkthaftungsrechts,</w:t>
      </w:r>
      <w:r>
        <w:rPr>
          <w:rFonts w:cstheme="minorHAnsi"/>
          <w:b/>
          <w:bCs/>
        </w:rPr>
        <w:t xml:space="preserve"> </w:t>
      </w:r>
      <w:r w:rsidRPr="00054B47">
        <w:rPr>
          <w:rFonts w:cstheme="minorHAnsi"/>
        </w:rPr>
        <w:t>BT-Drucksache 2</w:t>
      </w:r>
      <w:r>
        <w:rPr>
          <w:rFonts w:cstheme="minorHAnsi"/>
        </w:rPr>
        <w:t>1</w:t>
      </w:r>
      <w:r w:rsidRPr="00054B47">
        <w:rPr>
          <w:rFonts w:cstheme="minorHAnsi"/>
        </w:rPr>
        <w:t>/</w:t>
      </w:r>
      <w:r>
        <w:rPr>
          <w:rFonts w:cstheme="minorHAnsi"/>
        </w:rPr>
        <w:t>4297 statt.</w:t>
      </w:r>
    </w:p>
    <w:p w14:paraId="0A15BDF0" w14:textId="77777777" w:rsidR="00483E38" w:rsidRDefault="00483E38" w:rsidP="00483E38">
      <w:pPr>
        <w:autoSpaceDE w:val="0"/>
        <w:autoSpaceDN w:val="0"/>
        <w:adjustRightInd w:val="0"/>
        <w:spacing w:after="0" w:line="240" w:lineRule="auto"/>
        <w:rPr>
          <w:rFonts w:ascii="OpenSans" w:hAnsi="OpenSans" w:cs="OpenSans"/>
        </w:rPr>
      </w:pPr>
      <w:r>
        <w:rPr>
          <w:rFonts w:ascii="OpenSans" w:hAnsi="OpenSans" w:cs="OpenSans"/>
        </w:rPr>
        <w:t xml:space="preserve">Der Entwurf dient der </w:t>
      </w:r>
      <w:r>
        <w:rPr>
          <w:rFonts w:ascii="OpenSans,Bold" w:hAnsi="OpenSans,Bold" w:cs="OpenSans,Bold"/>
          <w:b/>
          <w:bCs/>
        </w:rPr>
        <w:t xml:space="preserve">Umsetzung der RL </w:t>
      </w:r>
      <w:r>
        <w:rPr>
          <w:rFonts w:ascii="OpenSans" w:hAnsi="OpenSans" w:cs="OpenSans"/>
        </w:rPr>
        <w:t xml:space="preserve">(EU) 2024/2853, die eine Umsetzungsfrist bis zum 19.12.2026 vorsieht. Wegen der </w:t>
      </w:r>
      <w:r>
        <w:rPr>
          <w:rFonts w:ascii="OpenSans,Bold" w:hAnsi="OpenSans,Bold" w:cs="OpenSans,Bold"/>
          <w:b/>
          <w:bCs/>
        </w:rPr>
        <w:t xml:space="preserve">Vielzahl der Änderungen soll das Produkthaftungsgesetz (ProdHaftG) neu gefasst </w:t>
      </w:r>
      <w:r>
        <w:rPr>
          <w:rFonts w:ascii="OpenSans" w:hAnsi="OpenSans" w:cs="OpenSans"/>
        </w:rPr>
        <w:t xml:space="preserve">werden. Im Vordergrund steht dabei die </w:t>
      </w:r>
      <w:r>
        <w:rPr>
          <w:rFonts w:ascii="OpenSans,Bold" w:hAnsi="OpenSans,Bold" w:cs="OpenSans,Bold"/>
          <w:b/>
          <w:bCs/>
        </w:rPr>
        <w:t>Anpassung an die Digitalisierung, an die Kreislaufwirtschaft und an die globalen Wertschöpfungsketten</w:t>
      </w:r>
      <w:r>
        <w:rPr>
          <w:rFonts w:ascii="OpenSans" w:hAnsi="OpenSans" w:cs="OpenSans"/>
        </w:rPr>
        <w:t>.</w:t>
      </w:r>
    </w:p>
    <w:p w14:paraId="7F246737" w14:textId="77777777" w:rsidR="00483E38" w:rsidRDefault="00483E38" w:rsidP="00483E38">
      <w:pPr>
        <w:autoSpaceDE w:val="0"/>
        <w:autoSpaceDN w:val="0"/>
        <w:adjustRightInd w:val="0"/>
        <w:spacing w:after="0" w:line="240" w:lineRule="auto"/>
        <w:rPr>
          <w:rFonts w:ascii="OpenSans" w:hAnsi="OpenSans" w:cs="OpenSans"/>
        </w:rPr>
      </w:pPr>
      <w:r>
        <w:rPr>
          <w:rFonts w:ascii="OpenSans" w:hAnsi="OpenSans" w:cs="OpenSans"/>
        </w:rPr>
        <w:t>Hervorzuheben sind folgende wesentliche Änderungen:</w:t>
      </w:r>
    </w:p>
    <w:p w14:paraId="3298B0AD" w14:textId="77777777" w:rsidR="00483E38" w:rsidRDefault="00483E38" w:rsidP="00483E38">
      <w:pPr>
        <w:autoSpaceDE w:val="0"/>
        <w:autoSpaceDN w:val="0"/>
        <w:adjustRightInd w:val="0"/>
        <w:spacing w:after="0" w:line="240" w:lineRule="auto"/>
        <w:rPr>
          <w:rFonts w:ascii="OpenSans,Bold" w:hAnsi="OpenSans,Bold" w:cs="OpenSans,Bold"/>
          <w:b/>
          <w:bCs/>
        </w:rPr>
      </w:pPr>
      <w:r>
        <w:rPr>
          <w:rFonts w:ascii="Symbol" w:hAnsi="Symbol" w:cs="Symbol"/>
        </w:rPr>
        <w:t xml:space="preserve"> </w:t>
      </w:r>
      <w:r>
        <w:rPr>
          <w:rFonts w:ascii="OpenSans,Bold" w:hAnsi="OpenSans,Bold" w:cs="OpenSans,Bold"/>
          <w:b/>
          <w:bCs/>
        </w:rPr>
        <w:t>Software wird unabhängig von der Art ihrer Bereitstellung oder Nutzung in die Produkthaftung</w:t>
      </w:r>
    </w:p>
    <w:p w14:paraId="26BEB4E4" w14:textId="77777777" w:rsidR="00483E38" w:rsidRDefault="00483E38" w:rsidP="00483E38">
      <w:pPr>
        <w:autoSpaceDE w:val="0"/>
        <w:autoSpaceDN w:val="0"/>
        <w:adjustRightInd w:val="0"/>
        <w:spacing w:after="0" w:line="240" w:lineRule="auto"/>
        <w:rPr>
          <w:rFonts w:ascii="OpenSans" w:hAnsi="OpenSans" w:cs="OpenSans"/>
        </w:rPr>
      </w:pPr>
      <w:r>
        <w:rPr>
          <w:rFonts w:ascii="OpenSans,Bold" w:hAnsi="OpenSans,Bold" w:cs="OpenSans,Bold"/>
          <w:b/>
          <w:bCs/>
        </w:rPr>
        <w:t>einbezogen</w:t>
      </w:r>
      <w:r>
        <w:rPr>
          <w:rFonts w:ascii="OpenSans" w:hAnsi="OpenSans" w:cs="OpenSans"/>
        </w:rPr>
        <w:t>. Damit gilt das Produkthaftungsrecht auch für die Haftung von Herstellern von KI-Systemen.</w:t>
      </w:r>
    </w:p>
    <w:p w14:paraId="7D2E52B6" w14:textId="77777777" w:rsidR="00483E38" w:rsidRDefault="00483E38" w:rsidP="00483E38">
      <w:pPr>
        <w:autoSpaceDE w:val="0"/>
        <w:autoSpaceDN w:val="0"/>
        <w:adjustRightInd w:val="0"/>
        <w:spacing w:after="0" w:line="240" w:lineRule="auto"/>
        <w:rPr>
          <w:rFonts w:ascii="OpenSans" w:hAnsi="OpenSans" w:cs="OpenSans"/>
        </w:rPr>
      </w:pPr>
      <w:r>
        <w:rPr>
          <w:rFonts w:ascii="Symbol" w:hAnsi="Symbol" w:cs="Symbol"/>
        </w:rPr>
        <w:lastRenderedPageBreak/>
        <w:t xml:space="preserve"> </w:t>
      </w:r>
      <w:r>
        <w:rPr>
          <w:rFonts w:ascii="OpenSans" w:hAnsi="OpenSans" w:cs="OpenSans"/>
        </w:rPr>
        <w:t>Bei der Beurteilung der Fehlerhaftigkeit sind künftig auch Selbstlernfähigkeiten des Produkts, Wechselwirkungen mit anderen Produkten sowie Cybersicherheitsanforderungen zu berücksichtigen.</w:t>
      </w:r>
    </w:p>
    <w:p w14:paraId="7527FFAF" w14:textId="77777777" w:rsidR="00483E38" w:rsidRDefault="00483E38" w:rsidP="00483E38">
      <w:pPr>
        <w:autoSpaceDE w:val="0"/>
        <w:autoSpaceDN w:val="0"/>
        <w:adjustRightInd w:val="0"/>
        <w:spacing w:after="0" w:line="240" w:lineRule="auto"/>
        <w:rPr>
          <w:rFonts w:ascii="OpenSans" w:hAnsi="OpenSans" w:cs="OpenSans"/>
        </w:rPr>
      </w:pPr>
      <w:r>
        <w:rPr>
          <w:rFonts w:ascii="Symbol" w:hAnsi="Symbol" w:cs="Symbol"/>
        </w:rPr>
        <w:t xml:space="preserve"> </w:t>
      </w:r>
      <w:r>
        <w:rPr>
          <w:rFonts w:ascii="OpenSans" w:hAnsi="OpenSans" w:cs="OpenSans"/>
        </w:rPr>
        <w:t xml:space="preserve">Künftig werden auch </w:t>
      </w:r>
      <w:r>
        <w:rPr>
          <w:rFonts w:ascii="OpenSans,Bold" w:hAnsi="OpenSans,Bold" w:cs="OpenSans,Bold"/>
          <w:b/>
          <w:bCs/>
        </w:rPr>
        <w:t xml:space="preserve">Schäden ersatzfähig sein, die durch die Vernichtung oder Beschädigung von nicht beruflich genutzten Daten </w:t>
      </w:r>
      <w:r>
        <w:rPr>
          <w:rFonts w:ascii="OpenSans" w:hAnsi="OpenSans" w:cs="OpenSans"/>
        </w:rPr>
        <w:t>entstehen.</w:t>
      </w:r>
    </w:p>
    <w:p w14:paraId="1A88C840" w14:textId="77777777" w:rsidR="00483E38" w:rsidRDefault="00483E38" w:rsidP="00483E38">
      <w:pPr>
        <w:autoSpaceDE w:val="0"/>
        <w:autoSpaceDN w:val="0"/>
        <w:adjustRightInd w:val="0"/>
        <w:spacing w:after="0" w:line="240" w:lineRule="auto"/>
        <w:rPr>
          <w:rFonts w:ascii="OpenSans" w:hAnsi="OpenSans" w:cs="OpenSans"/>
        </w:rPr>
      </w:pPr>
      <w:r>
        <w:rPr>
          <w:rFonts w:ascii="Symbol" w:hAnsi="Symbol" w:cs="Symbol"/>
        </w:rPr>
        <w:t xml:space="preserve"> </w:t>
      </w:r>
      <w:r>
        <w:rPr>
          <w:rFonts w:ascii="OpenSans,Bold" w:hAnsi="OpenSans,Bold" w:cs="OpenSans,Bold"/>
          <w:b/>
          <w:bCs/>
        </w:rPr>
        <w:t>Hersteller können künftig auch für Fehler haften, die durch ein Software-Update oder -Upgrade verursacht werden</w:t>
      </w:r>
      <w:r>
        <w:rPr>
          <w:rFonts w:ascii="OpenSans" w:hAnsi="OpenSans" w:cs="OpenSans"/>
        </w:rPr>
        <w:t>. Gleiches gilt für das Fehlen von Software-Updates oder -Upgrades, die zur Aufrechterhaltung der Sicherheit erforderlich wären.</w:t>
      </w:r>
    </w:p>
    <w:p w14:paraId="0C76F37A" w14:textId="77777777" w:rsidR="00483E38" w:rsidRDefault="00483E38" w:rsidP="00483E38">
      <w:pPr>
        <w:autoSpaceDE w:val="0"/>
        <w:autoSpaceDN w:val="0"/>
        <w:adjustRightInd w:val="0"/>
        <w:spacing w:after="0" w:line="240" w:lineRule="auto"/>
        <w:rPr>
          <w:rFonts w:ascii="OpenSans,Bold" w:hAnsi="OpenSans,Bold" w:cs="OpenSans,Bold"/>
          <w:b/>
          <w:bCs/>
        </w:rPr>
      </w:pPr>
      <w:r>
        <w:rPr>
          <w:rFonts w:ascii="Symbol" w:hAnsi="Symbol" w:cs="Symbol"/>
        </w:rPr>
        <w:t xml:space="preserve"> </w:t>
      </w:r>
      <w:r>
        <w:rPr>
          <w:rFonts w:ascii="OpenSans" w:hAnsi="OpenSans" w:cs="OpenSans"/>
        </w:rPr>
        <w:t xml:space="preserve">Verursacht eine fehlerhafte Komponente, die durch den Hersteller des Produkts oder mit dessen Einverständnis durch einen Dritten in das Produkt integriert oder damit verbunden wurde, einen Fehler des Produkts, </w:t>
      </w:r>
      <w:r>
        <w:rPr>
          <w:rFonts w:ascii="OpenSans,Bold" w:hAnsi="OpenSans,Bold" w:cs="OpenSans,Bold"/>
          <w:b/>
          <w:bCs/>
        </w:rPr>
        <w:t>so haften sowohl der Hersteller des Produkts als auch der Hersteller der</w:t>
      </w:r>
    </w:p>
    <w:p w14:paraId="4A6759F3" w14:textId="77777777" w:rsidR="00483E38" w:rsidRDefault="00483E38" w:rsidP="00483E38">
      <w:pPr>
        <w:autoSpaceDE w:val="0"/>
        <w:autoSpaceDN w:val="0"/>
        <w:adjustRightInd w:val="0"/>
        <w:spacing w:after="0" w:line="240" w:lineRule="auto"/>
        <w:rPr>
          <w:rFonts w:ascii="OpenSans" w:hAnsi="OpenSans" w:cs="OpenSans"/>
        </w:rPr>
      </w:pPr>
      <w:r>
        <w:rPr>
          <w:rFonts w:ascii="OpenSans,Bold" w:hAnsi="OpenSans,Bold" w:cs="OpenSans,Bold"/>
          <w:b/>
          <w:bCs/>
        </w:rPr>
        <w:t xml:space="preserve">Komponente. </w:t>
      </w:r>
      <w:r>
        <w:rPr>
          <w:rFonts w:ascii="OpenSans" w:hAnsi="OpenSans" w:cs="OpenSans"/>
        </w:rPr>
        <w:t xml:space="preserve">Dies betrifft </w:t>
      </w:r>
      <w:r>
        <w:rPr>
          <w:rFonts w:ascii="OpenSans,Bold" w:hAnsi="OpenSans,Bold" w:cs="OpenSans,Bold"/>
          <w:b/>
          <w:bCs/>
        </w:rPr>
        <w:t>auch verbundene digitale Dienste wie etwa Verkehrsdaten für das Navigationssystem eines autonomen Fahrzeugs</w:t>
      </w:r>
      <w:r>
        <w:rPr>
          <w:rFonts w:ascii="OpenSans" w:hAnsi="OpenSans" w:cs="OpenSans"/>
        </w:rPr>
        <w:t>.</w:t>
      </w:r>
    </w:p>
    <w:p w14:paraId="79F295D1" w14:textId="77777777" w:rsidR="00483E38" w:rsidRDefault="00483E38" w:rsidP="00483E38">
      <w:pPr>
        <w:autoSpaceDE w:val="0"/>
        <w:autoSpaceDN w:val="0"/>
        <w:adjustRightInd w:val="0"/>
        <w:spacing w:after="0" w:line="240" w:lineRule="auto"/>
        <w:rPr>
          <w:rFonts w:ascii="OpenSans" w:hAnsi="OpenSans" w:cs="OpenSans"/>
        </w:rPr>
      </w:pPr>
      <w:r>
        <w:rPr>
          <w:rFonts w:ascii="Symbol" w:hAnsi="Symbol" w:cs="Symbol"/>
        </w:rPr>
        <w:t xml:space="preserve"> </w:t>
      </w:r>
      <w:r>
        <w:rPr>
          <w:rFonts w:ascii="OpenSans" w:hAnsi="OpenSans" w:cs="OpenSans"/>
        </w:rPr>
        <w:t xml:space="preserve">Wird ein Produkt nach seinem Inverkehrbringen so umgestaltet, dass es wesentlich verändert wird (etwa durch </w:t>
      </w:r>
      <w:r>
        <w:rPr>
          <w:rFonts w:ascii="OpenSans,Bold" w:hAnsi="OpenSans,Bold" w:cs="OpenSans,Bold"/>
          <w:b/>
          <w:bCs/>
        </w:rPr>
        <w:t xml:space="preserve">„Upcycling“), </w:t>
      </w:r>
      <w:r>
        <w:rPr>
          <w:rFonts w:ascii="OpenSans" w:hAnsi="OpenSans" w:cs="OpenSans"/>
        </w:rPr>
        <w:t>soll derjenige als Hersteller haften, der das wesentlich veränderte Produkt in Verkehr bringt.</w:t>
      </w:r>
    </w:p>
    <w:p w14:paraId="6A6A6B42" w14:textId="77777777" w:rsidR="00483E38" w:rsidRDefault="00483E38" w:rsidP="00483E38">
      <w:pPr>
        <w:autoSpaceDE w:val="0"/>
        <w:autoSpaceDN w:val="0"/>
        <w:adjustRightInd w:val="0"/>
        <w:spacing w:after="0" w:line="240" w:lineRule="auto"/>
        <w:rPr>
          <w:rFonts w:ascii="OpenSans" w:hAnsi="OpenSans" w:cs="OpenSans"/>
        </w:rPr>
      </w:pPr>
      <w:r>
        <w:rPr>
          <w:rFonts w:ascii="Symbol" w:hAnsi="Symbol" w:cs="Symbol"/>
        </w:rPr>
        <w:t xml:space="preserve"> </w:t>
      </w:r>
      <w:r>
        <w:rPr>
          <w:rFonts w:ascii="OpenSans" w:hAnsi="OpenSans" w:cs="OpenSans"/>
        </w:rPr>
        <w:t xml:space="preserve">Einbezug weiterer Akteure in die </w:t>
      </w:r>
      <w:r>
        <w:rPr>
          <w:rFonts w:ascii="OpenSans,Bold" w:hAnsi="OpenSans,Bold" w:cs="OpenSans,Bold"/>
          <w:b/>
          <w:bCs/>
        </w:rPr>
        <w:t xml:space="preserve">Haftung unter bestimmten Voraussetzungen: </w:t>
      </w:r>
      <w:r>
        <w:rPr>
          <w:rFonts w:ascii="OpenSans" w:hAnsi="OpenSans" w:cs="OpenSans"/>
        </w:rPr>
        <w:t xml:space="preserve">Beauftragte des Herstellers, </w:t>
      </w:r>
      <w:proofErr w:type="spellStart"/>
      <w:r>
        <w:rPr>
          <w:rFonts w:ascii="OpenSans" w:hAnsi="OpenSans" w:cs="OpenSans"/>
        </w:rPr>
        <w:t>Fulfilment</w:t>
      </w:r>
      <w:proofErr w:type="spellEnd"/>
      <w:r>
        <w:rPr>
          <w:rFonts w:ascii="OpenSans" w:hAnsi="OpenSans" w:cs="OpenSans"/>
        </w:rPr>
        <w:t xml:space="preserve">-Dienstleister und bestimmte </w:t>
      </w:r>
      <w:r>
        <w:rPr>
          <w:rFonts w:ascii="OpenSans,Bold" w:hAnsi="OpenSans,Bold" w:cs="OpenSans,Bold"/>
          <w:b/>
          <w:bCs/>
        </w:rPr>
        <w:t xml:space="preserve">Anbieter von Online-Plattformen </w:t>
      </w:r>
      <w:r>
        <w:rPr>
          <w:rFonts w:ascii="OpenSans" w:hAnsi="OpenSans" w:cs="OpenSans"/>
        </w:rPr>
        <w:t>in Anspruch genommen werden.</w:t>
      </w:r>
    </w:p>
    <w:p w14:paraId="0FA1B864" w14:textId="77777777" w:rsidR="00483E38" w:rsidRDefault="00483E38" w:rsidP="00483E38">
      <w:pPr>
        <w:autoSpaceDE w:val="0"/>
        <w:autoSpaceDN w:val="0"/>
        <w:adjustRightInd w:val="0"/>
        <w:spacing w:after="0" w:line="240" w:lineRule="auto"/>
        <w:rPr>
          <w:rFonts w:ascii="OpenSans" w:hAnsi="OpenSans" w:cs="OpenSans"/>
        </w:rPr>
      </w:pPr>
      <w:r>
        <w:rPr>
          <w:rFonts w:ascii="Symbol" w:hAnsi="Symbol" w:cs="Symbol"/>
        </w:rPr>
        <w:t xml:space="preserve"> </w:t>
      </w:r>
      <w:r>
        <w:rPr>
          <w:rFonts w:ascii="OpenSans" w:hAnsi="OpenSans" w:cs="OpenSans"/>
        </w:rPr>
        <w:t>Regelungen über die Offenlegung von Beweismitteln und zur Beweislast.</w:t>
      </w:r>
    </w:p>
    <w:p w14:paraId="4A2BA001" w14:textId="77777777" w:rsidR="00483E38" w:rsidRDefault="00483E38" w:rsidP="00483E38">
      <w:pPr>
        <w:autoSpaceDE w:val="0"/>
        <w:autoSpaceDN w:val="0"/>
        <w:adjustRightInd w:val="0"/>
        <w:spacing w:after="0" w:line="240" w:lineRule="auto"/>
        <w:rPr>
          <w:rFonts w:ascii="OpenSans" w:hAnsi="OpenSans" w:cs="OpenSans"/>
        </w:rPr>
      </w:pPr>
      <w:r>
        <w:rPr>
          <w:rFonts w:ascii="Symbol" w:hAnsi="Symbol" w:cs="Symbol"/>
        </w:rPr>
        <w:t xml:space="preserve"> </w:t>
      </w:r>
      <w:r>
        <w:rPr>
          <w:rFonts w:ascii="OpenSans" w:hAnsi="OpenSans" w:cs="OpenSans"/>
        </w:rPr>
        <w:t>Veröffentlichungspflicht für bestimmte gerichtliche Urteile (anonymisiert).</w:t>
      </w:r>
    </w:p>
    <w:p w14:paraId="3F31CC10" w14:textId="746E617E" w:rsidR="00483E38" w:rsidRDefault="00483E38" w:rsidP="00DD1906"/>
    <w:p w14:paraId="4873666E" w14:textId="219BC1C7" w:rsidR="00483E38" w:rsidRDefault="00483E38" w:rsidP="00DD1906">
      <w:r>
        <w:t xml:space="preserve">Die Sachverständigen bewerteten den GE unterschiedlich. Teilweise wurde die 1:1-Umsetzung in Bezug auf Offenlegungspflichten als nicht weitgehend genug kritisiert. Teilweise wurde die Vielzahl unbestimmter Rechtsbegriffe und die damit einhergehende Rechtsunsicherheit gerügt. </w:t>
      </w:r>
    </w:p>
    <w:p w14:paraId="19F951E5" w14:textId="2D3952C6" w:rsidR="00483E38" w:rsidRPr="00483E38" w:rsidRDefault="00483E38" w:rsidP="00DD1906">
      <w:pPr>
        <w:rPr>
          <w:b/>
          <w:bCs/>
        </w:rPr>
      </w:pPr>
      <w:r>
        <w:rPr>
          <w:b/>
          <w:bCs/>
        </w:rPr>
        <w:t>Ergänzende</w:t>
      </w:r>
      <w:r w:rsidRPr="007A71ED">
        <w:rPr>
          <w:b/>
          <w:bCs/>
        </w:rPr>
        <w:t xml:space="preserve"> Informationen und Aufzeichnung der Anhörung: </w:t>
      </w:r>
    </w:p>
    <w:p w14:paraId="5BD06E3D" w14:textId="47F2CA25" w:rsidR="00483E38" w:rsidRDefault="00483E38" w:rsidP="00DD1906">
      <w:hyperlink r:id="rId28" w:history="1">
        <w:r w:rsidRPr="006448DD">
          <w:rPr>
            <w:rStyle w:val="Hyperlink"/>
          </w:rPr>
          <w:t>https://www.bundestag.de/dokumente/textarchiv/2026/kw16-pa-recht-produkthaftung-1164692</w:t>
        </w:r>
      </w:hyperlink>
    </w:p>
    <w:p w14:paraId="09D53857" w14:textId="77777777" w:rsidR="00483E38" w:rsidRDefault="00483E38" w:rsidP="00DD1906"/>
    <w:p w14:paraId="4EB2F805" w14:textId="31E20F96" w:rsidR="00DD1906" w:rsidRDefault="00DD1906" w:rsidP="00DD1906">
      <w:pPr>
        <w:shd w:val="clear" w:color="auto" w:fill="F2F2F2" w:themeFill="background1" w:themeFillShade="F2"/>
        <w:rPr>
          <w:b/>
          <w:sz w:val="24"/>
          <w:szCs w:val="24"/>
        </w:rPr>
      </w:pPr>
      <w:r>
        <w:rPr>
          <w:b/>
          <w:sz w:val="24"/>
          <w:szCs w:val="24"/>
        </w:rPr>
        <w:t>32</w:t>
      </w:r>
      <w:r w:rsidRPr="00D27E82">
        <w:rPr>
          <w:b/>
          <w:sz w:val="24"/>
          <w:szCs w:val="24"/>
        </w:rPr>
        <w:t>. Sitzung des</w:t>
      </w:r>
      <w:r w:rsidR="00405122" w:rsidRPr="00405122">
        <w:rPr>
          <w:b/>
          <w:sz w:val="24"/>
          <w:szCs w:val="24"/>
        </w:rPr>
        <w:t xml:space="preserve"> </w:t>
      </w:r>
      <w:r w:rsidR="00405122">
        <w:rPr>
          <w:b/>
          <w:sz w:val="24"/>
          <w:szCs w:val="24"/>
        </w:rPr>
        <w:t xml:space="preserve">Ausschusses für Recht und Verbraucherschutz </w:t>
      </w:r>
      <w:r>
        <w:rPr>
          <w:b/>
          <w:sz w:val="24"/>
          <w:szCs w:val="24"/>
        </w:rPr>
        <w:t xml:space="preserve">des </w:t>
      </w:r>
      <w:r w:rsidRPr="00D27E82">
        <w:rPr>
          <w:b/>
          <w:sz w:val="24"/>
          <w:szCs w:val="24"/>
        </w:rPr>
        <w:t xml:space="preserve">Deutschen Bundestages am </w:t>
      </w:r>
      <w:r>
        <w:rPr>
          <w:b/>
          <w:sz w:val="24"/>
          <w:szCs w:val="24"/>
        </w:rPr>
        <w:t>13. April 2026</w:t>
      </w:r>
    </w:p>
    <w:p w14:paraId="4AAEEF39" w14:textId="6B9D7CC7" w:rsidR="00483E38" w:rsidRDefault="00483E38" w:rsidP="00483E38">
      <w:pPr>
        <w:autoSpaceDE w:val="0"/>
        <w:autoSpaceDN w:val="0"/>
        <w:adjustRightInd w:val="0"/>
        <w:spacing w:line="240" w:lineRule="auto"/>
        <w:rPr>
          <w:rFonts w:cstheme="minorHAnsi"/>
        </w:rPr>
      </w:pPr>
      <w:r>
        <w:rPr>
          <w:rFonts w:cstheme="minorHAnsi"/>
        </w:rPr>
        <w:t>Am 13.04.2026</w:t>
      </w:r>
      <w:r w:rsidRPr="00142100">
        <w:rPr>
          <w:rFonts w:cstheme="minorHAnsi"/>
        </w:rPr>
        <w:t xml:space="preserve"> fand die </w:t>
      </w:r>
      <w:r w:rsidRPr="00726DD5">
        <w:rPr>
          <w:rFonts w:cstheme="minorHAnsi"/>
          <w:b/>
          <w:bCs/>
        </w:rPr>
        <w:t>öffentliche Anhörung</w:t>
      </w:r>
      <w:r w:rsidRPr="00142100">
        <w:rPr>
          <w:rFonts w:cstheme="minorHAnsi"/>
        </w:rPr>
        <w:t xml:space="preserve"> </w:t>
      </w:r>
      <w:r w:rsidRPr="000D36B5">
        <w:rPr>
          <w:rFonts w:cstheme="minorHAnsi"/>
        </w:rPr>
        <w:t xml:space="preserve">zum </w:t>
      </w:r>
      <w:r>
        <w:rPr>
          <w:rFonts w:cstheme="minorHAnsi"/>
        </w:rPr>
        <w:t xml:space="preserve">Gesetzentwurf der Bundesregierung </w:t>
      </w:r>
      <w:r w:rsidRPr="00483E38">
        <w:rPr>
          <w:rFonts w:cstheme="minorHAnsi"/>
          <w:b/>
          <w:bCs/>
        </w:rPr>
        <w:t>Entwurf eines Gesetzes zur Umsetzung der</w:t>
      </w:r>
      <w:r w:rsidRPr="00483E38">
        <w:rPr>
          <w:rFonts w:cstheme="minorHAnsi"/>
          <w:b/>
          <w:bCs/>
        </w:rPr>
        <w:t xml:space="preserve"> </w:t>
      </w:r>
      <w:r w:rsidRPr="00483E38">
        <w:rPr>
          <w:rFonts w:cstheme="minorHAnsi"/>
          <w:b/>
          <w:bCs/>
        </w:rPr>
        <w:t>Richtlinie (EU) 2022/2464 hinsichtlich der</w:t>
      </w:r>
      <w:r w:rsidRPr="00483E38">
        <w:rPr>
          <w:rFonts w:cstheme="minorHAnsi"/>
          <w:b/>
          <w:bCs/>
        </w:rPr>
        <w:t xml:space="preserve"> </w:t>
      </w:r>
      <w:r w:rsidRPr="00483E38">
        <w:rPr>
          <w:rFonts w:cstheme="minorHAnsi"/>
          <w:b/>
          <w:bCs/>
        </w:rPr>
        <w:t>Nachhaltigkeitsberichterstattung von</w:t>
      </w:r>
      <w:r w:rsidRPr="00483E38">
        <w:rPr>
          <w:rFonts w:cstheme="minorHAnsi"/>
          <w:b/>
          <w:bCs/>
        </w:rPr>
        <w:t xml:space="preserve"> </w:t>
      </w:r>
      <w:r w:rsidRPr="00483E38">
        <w:rPr>
          <w:rFonts w:cstheme="minorHAnsi"/>
          <w:b/>
          <w:bCs/>
        </w:rPr>
        <w:t>Unternehmen in der durch die Richtlinie</w:t>
      </w:r>
      <w:r w:rsidRPr="00483E38">
        <w:rPr>
          <w:rFonts w:cstheme="minorHAnsi"/>
          <w:b/>
          <w:bCs/>
        </w:rPr>
        <w:t xml:space="preserve"> </w:t>
      </w:r>
      <w:r w:rsidRPr="00483E38">
        <w:rPr>
          <w:rFonts w:cstheme="minorHAnsi"/>
          <w:b/>
          <w:bCs/>
        </w:rPr>
        <w:t>(EU) 2025/794 geänderten Fassung</w:t>
      </w:r>
      <w:r>
        <w:rPr>
          <w:rFonts w:cstheme="minorHAnsi"/>
        </w:rPr>
        <w:t xml:space="preserve">, </w:t>
      </w:r>
      <w:r w:rsidRPr="00054B47">
        <w:rPr>
          <w:rFonts w:cstheme="minorHAnsi"/>
        </w:rPr>
        <w:t>BT-Drucksache 2</w:t>
      </w:r>
      <w:r>
        <w:rPr>
          <w:rFonts w:cstheme="minorHAnsi"/>
        </w:rPr>
        <w:t>1</w:t>
      </w:r>
      <w:r w:rsidRPr="00054B47">
        <w:rPr>
          <w:rFonts w:cstheme="minorHAnsi"/>
        </w:rPr>
        <w:t>/</w:t>
      </w:r>
      <w:r>
        <w:rPr>
          <w:rFonts w:cstheme="minorHAnsi"/>
        </w:rPr>
        <w:t>1857</w:t>
      </w:r>
      <w:r>
        <w:rPr>
          <w:rFonts w:cstheme="minorHAnsi"/>
        </w:rPr>
        <w:t xml:space="preserve"> statt.</w:t>
      </w:r>
    </w:p>
    <w:p w14:paraId="0C6E4980" w14:textId="49DAF466" w:rsidR="004230AD" w:rsidRDefault="004230AD" w:rsidP="00DD1906">
      <w:r>
        <w:t xml:space="preserve">Gegenstand der Anhörung war auch der Änderungsantrag der Fraktionen der CDU/CSU und SPD: </w:t>
      </w:r>
      <w:hyperlink r:id="rId29" w:history="1">
        <w:r w:rsidRPr="006448DD">
          <w:rPr>
            <w:rStyle w:val="Hyperlink"/>
          </w:rPr>
          <w:t>https://www.bundestag.de/resource/blob/1161158/21-6-73_AeA_KOA.pdf</w:t>
        </w:r>
      </w:hyperlink>
    </w:p>
    <w:p w14:paraId="24C8B1C9" w14:textId="68CA447A" w:rsidR="004230AD" w:rsidRDefault="004230AD" w:rsidP="004230AD">
      <w:pPr>
        <w:jc w:val="both"/>
        <w:rPr>
          <w:rFonts w:eastAsia="Times New Roman"/>
        </w:rPr>
      </w:pPr>
      <w:r>
        <w:rPr>
          <w:rFonts w:eastAsia="Times New Roman"/>
        </w:rPr>
        <w:t>Der GE dient der Umsetzung von RL hinsichtlich der Nachhaltigkeitsberichterstattung von Unternehmen (</w:t>
      </w:r>
      <w:r w:rsidRPr="007960BD">
        <w:rPr>
          <w:rFonts w:eastAsia="Times New Roman"/>
        </w:rPr>
        <w:t xml:space="preserve">Corporate </w:t>
      </w:r>
      <w:proofErr w:type="spellStart"/>
      <w:r w:rsidRPr="007960BD">
        <w:rPr>
          <w:rFonts w:eastAsia="Times New Roman"/>
        </w:rPr>
        <w:t>Sustainability</w:t>
      </w:r>
      <w:proofErr w:type="spellEnd"/>
      <w:r w:rsidRPr="007960BD">
        <w:rPr>
          <w:rFonts w:eastAsia="Times New Roman"/>
        </w:rPr>
        <w:t xml:space="preserve"> Reporting </w:t>
      </w:r>
      <w:proofErr w:type="spellStart"/>
      <w:r w:rsidRPr="007960BD">
        <w:rPr>
          <w:rFonts w:eastAsia="Times New Roman"/>
        </w:rPr>
        <w:t>Directive</w:t>
      </w:r>
      <w:proofErr w:type="spellEnd"/>
      <w:r w:rsidRPr="007960BD">
        <w:rPr>
          <w:rFonts w:eastAsia="Times New Roman"/>
        </w:rPr>
        <w:t>, im Folgenden: CSRD).</w:t>
      </w:r>
      <w:r>
        <w:rPr>
          <w:rFonts w:eastAsia="Times New Roman"/>
        </w:rPr>
        <w:t xml:space="preserve"> Die Umsetzung</w:t>
      </w:r>
      <w:r>
        <w:rPr>
          <w:rFonts w:eastAsia="Times New Roman"/>
        </w:rPr>
        <w:t>s</w:t>
      </w:r>
      <w:r>
        <w:rPr>
          <w:rFonts w:eastAsia="Times New Roman"/>
        </w:rPr>
        <w:t xml:space="preserve">frist ist am 6. Juli 2024 abgelaufen. </w:t>
      </w:r>
      <w:r w:rsidRPr="002C5564">
        <w:rPr>
          <w:rFonts w:eastAsia="Times New Roman"/>
        </w:rPr>
        <w:t>Durch die CSRD wird eine Nachhaltigkeitsberichterstattung für bilanzrechtlich große sowie</w:t>
      </w:r>
      <w:r>
        <w:rPr>
          <w:rFonts w:eastAsia="Times New Roman"/>
        </w:rPr>
        <w:t xml:space="preserve"> </w:t>
      </w:r>
      <w:r w:rsidRPr="002C5564">
        <w:rPr>
          <w:rFonts w:eastAsia="Times New Roman"/>
        </w:rPr>
        <w:t>für bilanzrechtlich kleine oder mittelgroße kapitalmarktorientierte Unternehmen und eine</w:t>
      </w:r>
      <w:r>
        <w:rPr>
          <w:rFonts w:eastAsia="Times New Roman"/>
        </w:rPr>
        <w:t xml:space="preserve"> </w:t>
      </w:r>
      <w:r w:rsidRPr="002C5564">
        <w:rPr>
          <w:rFonts w:eastAsia="Times New Roman"/>
        </w:rPr>
        <w:t>Prüfung dieser Nachhaltigkeitsberichterstattung eingeführt.</w:t>
      </w:r>
      <w:r>
        <w:rPr>
          <w:rFonts w:eastAsia="Times New Roman"/>
        </w:rPr>
        <w:t xml:space="preserve"> </w:t>
      </w:r>
      <w:r w:rsidRPr="007960BD">
        <w:rPr>
          <w:rFonts w:eastAsia="Times New Roman"/>
        </w:rPr>
        <w:t>Die mit der CSRD EU-weit eingeführte Nachhaltigkeitsberichterstattung von Unternehmen</w:t>
      </w:r>
      <w:r>
        <w:rPr>
          <w:rFonts w:eastAsia="Times New Roman"/>
        </w:rPr>
        <w:t xml:space="preserve"> </w:t>
      </w:r>
      <w:r w:rsidRPr="007960BD">
        <w:rPr>
          <w:rFonts w:eastAsia="Times New Roman"/>
        </w:rPr>
        <w:t>ermöglicht es Investoren, Verbrauchern, Akteuren der Zivilgesellschaft, einschließlich</w:t>
      </w:r>
      <w:r>
        <w:rPr>
          <w:rFonts w:eastAsia="Times New Roman"/>
        </w:rPr>
        <w:t xml:space="preserve"> </w:t>
      </w:r>
      <w:r w:rsidRPr="007960BD">
        <w:rPr>
          <w:rFonts w:eastAsia="Times New Roman"/>
        </w:rPr>
        <w:t>Nichtregierungsorganisationen und Sozialpartnern, sowie weiteren Interessenträgern, den</w:t>
      </w:r>
      <w:r>
        <w:rPr>
          <w:rFonts w:eastAsia="Times New Roman"/>
        </w:rPr>
        <w:t xml:space="preserve"> </w:t>
      </w:r>
      <w:r w:rsidRPr="007960BD">
        <w:rPr>
          <w:rFonts w:eastAsia="Times New Roman"/>
        </w:rPr>
        <w:t xml:space="preserve">Nachhaltigkeitsbeitrag von Unternehmen zu bewerten und darauf basierend Entscheidungen, etwa bei Investitionen oder im Bereich des privaten </w:t>
      </w:r>
      <w:r w:rsidRPr="007960BD">
        <w:rPr>
          <w:rFonts w:eastAsia="Times New Roman"/>
        </w:rPr>
        <w:lastRenderedPageBreak/>
        <w:t>Konsums, zu treffen</w:t>
      </w:r>
      <w:r>
        <w:rPr>
          <w:rFonts w:eastAsia="Times New Roman"/>
        </w:rPr>
        <w:t xml:space="preserve">. </w:t>
      </w:r>
      <w:r>
        <w:rPr>
          <w:rFonts w:eastAsia="Times New Roman"/>
        </w:rPr>
        <w:t xml:space="preserve">Während des Umsetzungsprozesses auf nationaler Ebene wurden von der EU weitgehende Einschränkungen der CSRD-Berichtspflicht beschlossen, die der GE und der Änderungsantrag der Koalitionsfraktionen berücksichtigen sollen. </w:t>
      </w:r>
    </w:p>
    <w:p w14:paraId="7D788BD6" w14:textId="0B3A3E73" w:rsidR="00483E38" w:rsidRDefault="004230AD" w:rsidP="00DD1906">
      <w:r>
        <w:t xml:space="preserve">Die Sachverständigen kritisierten </w:t>
      </w:r>
      <w:r w:rsidR="00B80A0C">
        <w:t>z.T.</w:t>
      </w:r>
      <w:r>
        <w:t xml:space="preserve"> rechtliche Unklarheiten beim Anwendungsbereich und forderten </w:t>
      </w:r>
      <w:r w:rsidR="00B80A0C">
        <w:t>die</w:t>
      </w:r>
      <w:r>
        <w:t xml:space="preserve"> Möglichkeit</w:t>
      </w:r>
      <w:r w:rsidR="00B80A0C">
        <w:t xml:space="preserve"> </w:t>
      </w:r>
      <w:r w:rsidR="00B80A0C">
        <w:rPr>
          <w:rStyle w:val="strongemphasis"/>
        </w:rPr>
        <w:t>zur Zertifizierung von Nachhaltigkeitsberichten nicht nur Wirtschaftsprüfer zuzulassen</w:t>
      </w:r>
      <w:r w:rsidR="00B80A0C">
        <w:rPr>
          <w:rStyle w:val="strongemphasis"/>
        </w:rPr>
        <w:t>. Auch die frühzeitige Einbeziehung der Arbeitnehmerseite wurde vereinzelt angemahnt.</w:t>
      </w:r>
    </w:p>
    <w:p w14:paraId="31A4CE85" w14:textId="120C16D6" w:rsidR="00483E38" w:rsidRPr="00483E38" w:rsidRDefault="00483E38" w:rsidP="00DD1906">
      <w:pPr>
        <w:rPr>
          <w:b/>
          <w:bCs/>
        </w:rPr>
      </w:pPr>
      <w:r>
        <w:rPr>
          <w:b/>
          <w:bCs/>
        </w:rPr>
        <w:t>Ergänzende</w:t>
      </w:r>
      <w:r w:rsidRPr="007A71ED">
        <w:rPr>
          <w:b/>
          <w:bCs/>
        </w:rPr>
        <w:t xml:space="preserve"> Informationen und Aufzeichnung der Anhörung: </w:t>
      </w:r>
    </w:p>
    <w:p w14:paraId="2A07EEA6" w14:textId="7D228472" w:rsidR="00483E38" w:rsidRDefault="00483E38" w:rsidP="00DD1906">
      <w:hyperlink r:id="rId30" w:history="1">
        <w:r w:rsidRPr="006448DD">
          <w:rPr>
            <w:rStyle w:val="Hyperlink"/>
          </w:rPr>
          <w:t>https://www.bundestag.de/dokumente/textarchiv/2026/kw16-pa-recht-nachhaltigkeitsberichterstattung-1164694</w:t>
        </w:r>
      </w:hyperlink>
    </w:p>
    <w:p w14:paraId="13DB5ADF" w14:textId="77777777" w:rsidR="00483E38" w:rsidRDefault="00483E38" w:rsidP="00DD1906"/>
    <w:p w14:paraId="6154E187" w14:textId="3B483765" w:rsidR="00DD1906" w:rsidRDefault="00DD1906" w:rsidP="00DD1906">
      <w:pPr>
        <w:shd w:val="clear" w:color="auto" w:fill="F2F2F2" w:themeFill="background1" w:themeFillShade="F2"/>
        <w:rPr>
          <w:b/>
          <w:sz w:val="24"/>
          <w:szCs w:val="24"/>
        </w:rPr>
      </w:pPr>
      <w:r>
        <w:rPr>
          <w:b/>
          <w:sz w:val="24"/>
          <w:szCs w:val="24"/>
        </w:rPr>
        <w:t>3</w:t>
      </w:r>
      <w:r w:rsidR="00D4358C">
        <w:rPr>
          <w:b/>
          <w:sz w:val="24"/>
          <w:szCs w:val="24"/>
        </w:rPr>
        <w:t>5</w:t>
      </w:r>
      <w:r w:rsidRPr="00D27E82">
        <w:rPr>
          <w:b/>
          <w:sz w:val="24"/>
          <w:szCs w:val="24"/>
        </w:rPr>
        <w:t xml:space="preserve">. Sitzung des </w:t>
      </w:r>
      <w:r w:rsidR="00405122">
        <w:rPr>
          <w:b/>
          <w:sz w:val="24"/>
          <w:szCs w:val="24"/>
        </w:rPr>
        <w:t>Ausschusses für Recht und Verbraucherschutz</w:t>
      </w:r>
      <w:r>
        <w:rPr>
          <w:b/>
          <w:sz w:val="24"/>
          <w:szCs w:val="24"/>
        </w:rPr>
        <w:t xml:space="preserve"> des </w:t>
      </w:r>
      <w:r w:rsidRPr="00D27E82">
        <w:rPr>
          <w:b/>
          <w:sz w:val="24"/>
          <w:szCs w:val="24"/>
        </w:rPr>
        <w:t xml:space="preserve">Deutschen Bundestages am </w:t>
      </w:r>
      <w:r w:rsidR="00405122">
        <w:rPr>
          <w:b/>
          <w:sz w:val="24"/>
          <w:szCs w:val="24"/>
        </w:rPr>
        <w:t>22</w:t>
      </w:r>
      <w:r>
        <w:rPr>
          <w:b/>
          <w:sz w:val="24"/>
          <w:szCs w:val="24"/>
        </w:rPr>
        <w:t>. April 2026</w:t>
      </w:r>
    </w:p>
    <w:p w14:paraId="5F400F34" w14:textId="28BF231E" w:rsidR="00BF68BD" w:rsidRDefault="00BF68BD" w:rsidP="00BF68BD">
      <w:pPr>
        <w:autoSpaceDE w:val="0"/>
        <w:autoSpaceDN w:val="0"/>
        <w:adjustRightInd w:val="0"/>
        <w:spacing w:line="240" w:lineRule="auto"/>
        <w:rPr>
          <w:rFonts w:cstheme="minorHAnsi"/>
        </w:rPr>
      </w:pPr>
      <w:r>
        <w:rPr>
          <w:rFonts w:cstheme="minorHAnsi"/>
        </w:rPr>
        <w:t xml:space="preserve">Am </w:t>
      </w:r>
      <w:r>
        <w:rPr>
          <w:rFonts w:cstheme="minorHAnsi"/>
        </w:rPr>
        <w:t>22</w:t>
      </w:r>
      <w:r>
        <w:rPr>
          <w:rFonts w:cstheme="minorHAnsi"/>
        </w:rPr>
        <w:t>.04.2026</w:t>
      </w:r>
      <w:r w:rsidRPr="00142100">
        <w:rPr>
          <w:rFonts w:cstheme="minorHAnsi"/>
        </w:rPr>
        <w:t xml:space="preserve"> fand die </w:t>
      </w:r>
      <w:r w:rsidRPr="00726DD5">
        <w:rPr>
          <w:rFonts w:cstheme="minorHAnsi"/>
          <w:b/>
          <w:bCs/>
        </w:rPr>
        <w:t>öffentliche Anhörung</w:t>
      </w:r>
      <w:r w:rsidRPr="00142100">
        <w:rPr>
          <w:rFonts w:cstheme="minorHAnsi"/>
        </w:rPr>
        <w:t xml:space="preserve"> </w:t>
      </w:r>
      <w:r w:rsidRPr="000D36B5">
        <w:rPr>
          <w:rFonts w:cstheme="minorHAnsi"/>
        </w:rPr>
        <w:t xml:space="preserve">zum </w:t>
      </w:r>
      <w:r>
        <w:rPr>
          <w:rFonts w:cstheme="minorHAnsi"/>
        </w:rPr>
        <w:t xml:space="preserve">Gesetzentwurf der Bundesregierung </w:t>
      </w:r>
      <w:r w:rsidRPr="00BF68BD">
        <w:rPr>
          <w:rFonts w:cstheme="minorHAnsi"/>
          <w:b/>
          <w:bCs/>
        </w:rPr>
        <w:t>Entwurf eines Gesetzes zur Neuordnung aufsichtsrechtlicher Verfahren und zur Änderung weiterer Vorschriften im Bereich der rechtsberatenden Berufe</w:t>
      </w:r>
      <w:r>
        <w:rPr>
          <w:rFonts w:cstheme="minorHAnsi"/>
          <w:b/>
          <w:bCs/>
        </w:rPr>
        <w:t xml:space="preserve"> </w:t>
      </w:r>
      <w:r w:rsidRPr="00054B47">
        <w:rPr>
          <w:rFonts w:cstheme="minorHAnsi"/>
        </w:rPr>
        <w:t>BT-Drucksache 2</w:t>
      </w:r>
      <w:r>
        <w:rPr>
          <w:rFonts w:cstheme="minorHAnsi"/>
        </w:rPr>
        <w:t>1</w:t>
      </w:r>
      <w:r w:rsidRPr="00054B47">
        <w:rPr>
          <w:rFonts w:cstheme="minorHAnsi"/>
        </w:rPr>
        <w:t>/</w:t>
      </w:r>
      <w:r>
        <w:rPr>
          <w:rFonts w:cstheme="minorHAnsi"/>
        </w:rPr>
        <w:t>429</w:t>
      </w:r>
      <w:r>
        <w:rPr>
          <w:rFonts w:cstheme="minorHAnsi"/>
        </w:rPr>
        <w:t xml:space="preserve">8 </w:t>
      </w:r>
      <w:r>
        <w:rPr>
          <w:rFonts w:cstheme="minorHAnsi"/>
        </w:rPr>
        <w:t>statt.</w:t>
      </w:r>
    </w:p>
    <w:p w14:paraId="160D7B8A" w14:textId="77777777" w:rsidR="00BF68BD" w:rsidRDefault="00BF68BD" w:rsidP="00BF68BD">
      <w:pPr>
        <w:autoSpaceDE w:val="0"/>
        <w:autoSpaceDN w:val="0"/>
        <w:adjustRightInd w:val="0"/>
        <w:spacing w:after="0" w:line="240" w:lineRule="auto"/>
        <w:rPr>
          <w:rFonts w:ascii="OpenSans" w:hAnsi="OpenSans" w:cs="OpenSans"/>
        </w:rPr>
      </w:pPr>
      <w:r>
        <w:rPr>
          <w:rFonts w:ascii="OpenSans" w:hAnsi="OpenSans" w:cs="OpenSans"/>
        </w:rPr>
        <w:t xml:space="preserve">Der GE beabsichtigt die </w:t>
      </w:r>
      <w:r>
        <w:rPr>
          <w:rFonts w:ascii="OpenSans,Bold" w:hAnsi="OpenSans,Bold" w:cs="OpenSans,Bold"/>
          <w:b/>
          <w:bCs/>
        </w:rPr>
        <w:t xml:space="preserve">Neuregelung hinsichtlich bei aufsichtsrechtlichen Verfahren und hinsichtlich der Modernisierung und Klarstellung im Bereich der rechtsberatenden Berufe </w:t>
      </w:r>
      <w:r>
        <w:rPr>
          <w:rFonts w:ascii="OpenSans" w:hAnsi="OpenSans" w:cs="OpenSans"/>
        </w:rPr>
        <w:t xml:space="preserve">(berufsrechtliche Normen in der Bundesrechtsanwaltsordnung (BRAO), der Patentanwaltsordnung (PAO), dem Steuerberatungsgesetz (StBerG), der Wirtschaftsprüferordnung (WPO), der Bundesnotarordnung (BNotO) und dem Rechtsdienstleistungsgesetz (RDG). Dies betrifft beispielsweise die Abwicklung von Kanzleien, die Erweiterung des Zentralen Vorsorgeregisters sowie Nachschärfungen im Rechtsdienstleistungsgesetz zur Erhöhung des Verbraucherschutzes. Weiter werden die verschiedenen aufsichtsrechtlichen Verfahren des Rechts der rechtsberatenden Berufe neugeordnet und angeglichen. So soll für Rechtsbehelfe gegen rechtliche Hinweise, Rügen, Auskunftsverlangen und Zwangsgelder von Rechtsanwältinnen und -anwälten einheitlich das Anwaltsgericht zuständig und die Verwaltungsgerichtsordnung anzuwenden sein. Inder PAO, im StBerG und teilweise auch in der WPO werden vergleichbare Änderungen vorgenommen, soweit nicht die abweichenden gerichtlichen Zuständigkeiten Modifikationen erforderlich machen. Darüber hinaus soll der negativ besetzte Begriff der „missbilligenden Belehrung“, die von vielen Berufskammern gegenüber ihren Mitgliedern ausgesprochen wird, künftig durch einen „rechtlichen Hinweis“ ersetzt werden, um dessen präventiven Charakter herauszustellen. </w:t>
      </w:r>
    </w:p>
    <w:p w14:paraId="1E492391" w14:textId="77777777" w:rsidR="00BF68BD" w:rsidRDefault="00BF68BD" w:rsidP="00BF68BD">
      <w:pPr>
        <w:autoSpaceDE w:val="0"/>
        <w:autoSpaceDN w:val="0"/>
        <w:adjustRightInd w:val="0"/>
        <w:spacing w:after="0" w:line="240" w:lineRule="auto"/>
        <w:rPr>
          <w:rFonts w:ascii="OpenSans" w:hAnsi="OpenSans" w:cs="OpenSans"/>
        </w:rPr>
      </w:pPr>
    </w:p>
    <w:p w14:paraId="5426554C" w14:textId="64AC48E3" w:rsidR="00BF68BD" w:rsidRDefault="00BF68BD" w:rsidP="007E498D">
      <w:pPr>
        <w:autoSpaceDE w:val="0"/>
        <w:autoSpaceDN w:val="0"/>
        <w:adjustRightInd w:val="0"/>
        <w:spacing w:after="0" w:line="240" w:lineRule="auto"/>
        <w:rPr>
          <w:rFonts w:ascii="OpenSans" w:hAnsi="OpenSans" w:cs="OpenSans"/>
        </w:rPr>
      </w:pPr>
      <w:r w:rsidRPr="00AC33AF">
        <w:rPr>
          <w:rFonts w:ascii="OpenSans" w:hAnsi="OpenSans" w:cs="OpenSans"/>
          <w:b/>
          <w:bCs/>
        </w:rPr>
        <w:t>Die Zuständigkeit für die Verwahrung von über 100 Jahre alten notariellen Urkunden und Verzeichnisse soll künftig nicht mehr wie bisher bei den Stellen der Justiz, sondern – soweit die Unterlagen als Archivgut übernommen werden – bei den (Landes-)Archiven liegen.</w:t>
      </w:r>
      <w:r>
        <w:rPr>
          <w:rFonts w:ascii="OpenSans" w:hAnsi="OpenSans" w:cs="OpenSans"/>
        </w:rPr>
        <w:t xml:space="preserve"> auch eine vorzeitige Übernahmemöglichkeit von notariellen Urkunden und Verzeichnissen durch die Landesarchive. Die Einsichtnahme in diese Urkunden und Verzeichnisse, soweit diese über die hundertjährige notarielle Aufbewahrungsfrist hinaus durch die Landesarchive aufbewahrt werden, soll sich künftig nach den Archivgesetzen der Länder richten.</w:t>
      </w:r>
    </w:p>
    <w:p w14:paraId="4075107F" w14:textId="77777777" w:rsidR="007E498D" w:rsidRPr="007E498D" w:rsidRDefault="007E498D" w:rsidP="007E498D">
      <w:pPr>
        <w:autoSpaceDE w:val="0"/>
        <w:autoSpaceDN w:val="0"/>
        <w:adjustRightInd w:val="0"/>
        <w:spacing w:after="0" w:line="240" w:lineRule="auto"/>
        <w:rPr>
          <w:rFonts w:ascii="OpenSans" w:hAnsi="OpenSans" w:cs="OpenSans"/>
        </w:rPr>
      </w:pPr>
    </w:p>
    <w:p w14:paraId="392531B7" w14:textId="5AFB53E5" w:rsidR="00BF68BD" w:rsidRDefault="00E16B19" w:rsidP="00BF68BD">
      <w:pPr>
        <w:autoSpaceDE w:val="0"/>
        <w:autoSpaceDN w:val="0"/>
        <w:adjustRightInd w:val="0"/>
        <w:spacing w:line="240" w:lineRule="auto"/>
        <w:rPr>
          <w:rFonts w:cstheme="minorHAnsi"/>
        </w:rPr>
      </w:pPr>
      <w:r>
        <w:rPr>
          <w:rFonts w:cstheme="minorHAnsi"/>
        </w:rPr>
        <w:t xml:space="preserve">Die </w:t>
      </w:r>
      <w:r w:rsidRPr="007E498D">
        <w:rPr>
          <w:rFonts w:cstheme="minorHAnsi"/>
          <w:b/>
          <w:bCs/>
        </w:rPr>
        <w:t xml:space="preserve">Sachverständigen </w:t>
      </w:r>
      <w:r>
        <w:rPr>
          <w:rFonts w:cstheme="minorHAnsi"/>
        </w:rPr>
        <w:t xml:space="preserve">kritisierten die Regelungen des Inkassowesens als unzureichend, um Schuldner besser zu schützen. Die Regelungen </w:t>
      </w:r>
      <w:r>
        <w:t>für die Abwicklung von Anwaltskanzleien und Steuerberatungsbüros</w:t>
      </w:r>
      <w:r w:rsidR="007E498D">
        <w:t xml:space="preserve"> wurden ebenfalls kritisiert. Die </w:t>
      </w:r>
      <w:r w:rsidR="007E498D">
        <w:t>Vorschriften über Vorstandswahlen in den Anwalts- beziehungsweise Steuerberaterkammern</w:t>
      </w:r>
      <w:r w:rsidR="007E498D">
        <w:t xml:space="preserve"> wurden ebenfalls thematisiert.</w:t>
      </w:r>
    </w:p>
    <w:p w14:paraId="1C396FB8" w14:textId="77777777" w:rsidR="00BF68BD" w:rsidRPr="00483E38" w:rsidRDefault="00BF68BD" w:rsidP="00BF68BD">
      <w:pPr>
        <w:rPr>
          <w:b/>
          <w:bCs/>
        </w:rPr>
      </w:pPr>
      <w:r>
        <w:rPr>
          <w:b/>
          <w:bCs/>
        </w:rPr>
        <w:t>Ergänzende</w:t>
      </w:r>
      <w:r w:rsidRPr="007A71ED">
        <w:rPr>
          <w:b/>
          <w:bCs/>
        </w:rPr>
        <w:t xml:space="preserve"> Informationen und Aufzeichnung der Anhörung: </w:t>
      </w:r>
    </w:p>
    <w:p w14:paraId="657EEB93" w14:textId="6C2F0C58" w:rsidR="001845E7" w:rsidRDefault="00BF68BD" w:rsidP="00723DA4">
      <w:pPr>
        <w:autoSpaceDE w:val="0"/>
        <w:autoSpaceDN w:val="0"/>
        <w:adjustRightInd w:val="0"/>
        <w:spacing w:line="240" w:lineRule="auto"/>
        <w:rPr>
          <w:rFonts w:cstheme="minorHAnsi"/>
        </w:rPr>
      </w:pPr>
      <w:hyperlink r:id="rId31" w:history="1">
        <w:r w:rsidRPr="006448DD">
          <w:rPr>
            <w:rStyle w:val="Hyperlink"/>
            <w:rFonts w:cstheme="minorHAnsi"/>
          </w:rPr>
          <w:t>https://www.bundestag.de/dokumente/textarchiv/2026/kw17-pa-recht-rechtsber-berufe-1165266</w:t>
        </w:r>
      </w:hyperlink>
    </w:p>
    <w:p w14:paraId="6C1BF121" w14:textId="77777777" w:rsidR="00405122" w:rsidRDefault="00405122" w:rsidP="00723DA4">
      <w:pPr>
        <w:autoSpaceDE w:val="0"/>
        <w:autoSpaceDN w:val="0"/>
        <w:adjustRightInd w:val="0"/>
        <w:spacing w:line="240" w:lineRule="auto"/>
        <w:rPr>
          <w:rFonts w:cstheme="minorHAnsi"/>
          <w:b/>
        </w:rPr>
      </w:pPr>
    </w:p>
    <w:p w14:paraId="437A2498" w14:textId="4939EA60" w:rsidR="00F430FD" w:rsidRPr="00AB61DB" w:rsidRDefault="00F430FD" w:rsidP="00F430FD">
      <w:pPr>
        <w:shd w:val="clear" w:color="auto" w:fill="D9D9D9" w:themeFill="background1" w:themeFillShade="D9"/>
        <w:jc w:val="center"/>
        <w:rPr>
          <w:b/>
          <w:sz w:val="32"/>
          <w:szCs w:val="32"/>
        </w:rPr>
      </w:pPr>
      <w:r>
        <w:rPr>
          <w:b/>
          <w:sz w:val="32"/>
          <w:szCs w:val="32"/>
        </w:rPr>
        <w:t>Bundesregierung</w:t>
      </w:r>
    </w:p>
    <w:p w14:paraId="48400023" w14:textId="6422D0DE" w:rsidR="00F430FD" w:rsidRDefault="00F430FD" w:rsidP="00723DA4">
      <w:pPr>
        <w:autoSpaceDE w:val="0"/>
        <w:autoSpaceDN w:val="0"/>
        <w:adjustRightInd w:val="0"/>
        <w:spacing w:line="240" w:lineRule="auto"/>
        <w:rPr>
          <w:rFonts w:cstheme="minorHAnsi"/>
          <w:b/>
        </w:rPr>
      </w:pPr>
      <w:r>
        <w:rPr>
          <w:rFonts w:cstheme="minorHAnsi"/>
          <w:b/>
        </w:rPr>
        <w:t xml:space="preserve">Aktuelle Referentenentwürfe des Bundesministeriums der Justiz und für Verbraucherschutz (Auswahl): </w:t>
      </w:r>
    </w:p>
    <w:p w14:paraId="00C57CE5" w14:textId="77777777" w:rsidR="0015694B" w:rsidRPr="0015694B" w:rsidRDefault="00F97EDB" w:rsidP="0015694B">
      <w:pPr>
        <w:pStyle w:val="StandardWeb"/>
        <w:numPr>
          <w:ilvl w:val="0"/>
          <w:numId w:val="38"/>
        </w:numPr>
        <w:rPr>
          <w:rFonts w:asciiTheme="minorHAnsi" w:hAnsiTheme="minorHAnsi" w:cstheme="minorHAnsi"/>
          <w:color w:val="000000"/>
          <w:sz w:val="22"/>
          <w:szCs w:val="22"/>
        </w:rPr>
      </w:pPr>
      <w:hyperlink r:id="rId32" w:history="1">
        <w:r w:rsidR="0015694B" w:rsidRPr="0015694B">
          <w:rPr>
            <w:rStyle w:val="Hyperlink"/>
            <w:rFonts w:asciiTheme="minorHAnsi" w:hAnsiTheme="minorHAnsi" w:cstheme="minorHAnsi"/>
            <w:sz w:val="22"/>
            <w:szCs w:val="22"/>
          </w:rPr>
          <w:t>Gesetz über eine Beauftragte oder einen Beauftragten der Bundesregierung für die Anliegen von Betroffenen von terroristischen Straftaten im Inland</w:t>
        </w:r>
      </w:hyperlink>
    </w:p>
    <w:p w14:paraId="33551BD5" w14:textId="77777777" w:rsidR="0015694B" w:rsidRPr="0015694B" w:rsidRDefault="00F97EDB" w:rsidP="0015694B">
      <w:pPr>
        <w:pStyle w:val="StandardWeb"/>
        <w:numPr>
          <w:ilvl w:val="0"/>
          <w:numId w:val="38"/>
        </w:numPr>
        <w:rPr>
          <w:rFonts w:asciiTheme="minorHAnsi" w:hAnsiTheme="minorHAnsi" w:cstheme="minorHAnsi"/>
          <w:color w:val="000000"/>
          <w:sz w:val="22"/>
          <w:szCs w:val="22"/>
        </w:rPr>
      </w:pPr>
      <w:hyperlink r:id="rId33" w:history="1">
        <w:r w:rsidR="0015694B" w:rsidRPr="0015694B">
          <w:rPr>
            <w:rStyle w:val="Hyperlink"/>
            <w:rFonts w:asciiTheme="minorHAnsi" w:hAnsiTheme="minorHAnsi" w:cstheme="minorHAnsi"/>
            <w:sz w:val="22"/>
            <w:szCs w:val="22"/>
          </w:rPr>
          <w:t>Gesetz zur Änderung der Strafprozessordnung – digitale Ermittlungsmaßnahmen</w:t>
        </w:r>
      </w:hyperlink>
    </w:p>
    <w:p w14:paraId="63198E86" w14:textId="77777777" w:rsidR="0015694B" w:rsidRPr="0015694B" w:rsidRDefault="00F97EDB" w:rsidP="0015694B">
      <w:pPr>
        <w:pStyle w:val="StandardWeb"/>
        <w:numPr>
          <w:ilvl w:val="0"/>
          <w:numId w:val="38"/>
        </w:numPr>
        <w:rPr>
          <w:rFonts w:asciiTheme="minorHAnsi" w:hAnsiTheme="minorHAnsi" w:cstheme="minorHAnsi"/>
          <w:color w:val="000000"/>
          <w:sz w:val="22"/>
          <w:szCs w:val="22"/>
        </w:rPr>
      </w:pPr>
      <w:hyperlink r:id="rId34" w:history="1">
        <w:r w:rsidR="0015694B" w:rsidRPr="0015694B">
          <w:rPr>
            <w:rStyle w:val="Hyperlink"/>
            <w:rFonts w:asciiTheme="minorHAnsi" w:hAnsiTheme="minorHAnsi" w:cstheme="minorHAnsi"/>
            <w:sz w:val="22"/>
            <w:szCs w:val="22"/>
          </w:rPr>
          <w:t xml:space="preserve">Gesetz zur Änderung der Regelung über ärztliche Zwangsmaßnahmen im Betreuungsrecht und zur Stärkung des </w:t>
        </w:r>
        <w:proofErr w:type="spellStart"/>
        <w:r w:rsidR="0015694B" w:rsidRPr="0015694B">
          <w:rPr>
            <w:rStyle w:val="Hyperlink"/>
            <w:rFonts w:asciiTheme="minorHAnsi" w:hAnsiTheme="minorHAnsi" w:cstheme="minorHAnsi"/>
            <w:sz w:val="22"/>
            <w:szCs w:val="22"/>
          </w:rPr>
          <w:t>ultimaratio</w:t>
        </w:r>
        <w:proofErr w:type="spellEnd"/>
        <w:r w:rsidR="0015694B" w:rsidRPr="0015694B">
          <w:rPr>
            <w:rStyle w:val="Hyperlink"/>
            <w:rFonts w:asciiTheme="minorHAnsi" w:hAnsiTheme="minorHAnsi" w:cstheme="minorHAnsi"/>
            <w:sz w:val="22"/>
            <w:szCs w:val="22"/>
          </w:rPr>
          <w:t>-Gebots sowie der Selbstbestimmung der Betroffenen</w:t>
        </w:r>
      </w:hyperlink>
    </w:p>
    <w:p w14:paraId="30301F91" w14:textId="77777777" w:rsidR="0015694B" w:rsidRPr="0015694B" w:rsidRDefault="00F97EDB" w:rsidP="0015694B">
      <w:pPr>
        <w:pStyle w:val="StandardWeb"/>
        <w:numPr>
          <w:ilvl w:val="0"/>
          <w:numId w:val="38"/>
        </w:numPr>
        <w:rPr>
          <w:rFonts w:asciiTheme="minorHAnsi" w:hAnsiTheme="minorHAnsi" w:cstheme="minorHAnsi"/>
          <w:color w:val="000000"/>
          <w:sz w:val="22"/>
          <w:szCs w:val="22"/>
        </w:rPr>
      </w:pPr>
      <w:hyperlink r:id="rId35" w:history="1">
        <w:r w:rsidR="0015694B" w:rsidRPr="0015694B">
          <w:rPr>
            <w:rStyle w:val="Hyperlink"/>
            <w:rFonts w:asciiTheme="minorHAnsi" w:hAnsiTheme="minorHAnsi" w:cstheme="minorHAnsi"/>
            <w:sz w:val="22"/>
            <w:szCs w:val="22"/>
          </w:rPr>
          <w:t xml:space="preserve">Gesetz zur Änderung der Verwaltungsgerichtsordnung und anderer Gesetze (7. </w:t>
        </w:r>
        <w:proofErr w:type="spellStart"/>
        <w:r w:rsidR="0015694B" w:rsidRPr="0015694B">
          <w:rPr>
            <w:rStyle w:val="Hyperlink"/>
            <w:rFonts w:asciiTheme="minorHAnsi" w:hAnsiTheme="minorHAnsi" w:cstheme="minorHAnsi"/>
            <w:sz w:val="22"/>
            <w:szCs w:val="22"/>
          </w:rPr>
          <w:t>VwGOÄndG</w:t>
        </w:r>
        <w:proofErr w:type="spellEnd"/>
        <w:r w:rsidR="0015694B" w:rsidRPr="0015694B">
          <w:rPr>
            <w:rStyle w:val="Hyperlink"/>
            <w:rFonts w:asciiTheme="minorHAnsi" w:hAnsiTheme="minorHAnsi" w:cstheme="minorHAnsi"/>
            <w:sz w:val="22"/>
            <w:szCs w:val="22"/>
          </w:rPr>
          <w:t>)</w:t>
        </w:r>
      </w:hyperlink>
    </w:p>
    <w:p w14:paraId="4137CAA1" w14:textId="77777777" w:rsidR="0015694B" w:rsidRPr="0015694B" w:rsidRDefault="00F97EDB" w:rsidP="0015694B">
      <w:pPr>
        <w:pStyle w:val="StandardWeb"/>
        <w:numPr>
          <w:ilvl w:val="0"/>
          <w:numId w:val="38"/>
        </w:numPr>
        <w:rPr>
          <w:rFonts w:asciiTheme="minorHAnsi" w:hAnsiTheme="minorHAnsi" w:cstheme="minorHAnsi"/>
          <w:color w:val="000000"/>
          <w:sz w:val="22"/>
          <w:szCs w:val="22"/>
        </w:rPr>
      </w:pPr>
      <w:hyperlink r:id="rId36" w:history="1">
        <w:r w:rsidR="0015694B" w:rsidRPr="0015694B">
          <w:rPr>
            <w:rStyle w:val="Hyperlink"/>
            <w:rFonts w:asciiTheme="minorHAnsi" w:hAnsiTheme="minorHAnsi" w:cstheme="minorHAnsi"/>
            <w:sz w:val="22"/>
            <w:szCs w:val="22"/>
          </w:rPr>
          <w:t>Gesetz zur Modernisierung des Schiedsverfahrensrechts</w:t>
        </w:r>
      </w:hyperlink>
    </w:p>
    <w:p w14:paraId="0CF61253" w14:textId="77777777" w:rsidR="0015694B" w:rsidRPr="0015694B" w:rsidRDefault="00F97EDB" w:rsidP="0015694B">
      <w:pPr>
        <w:pStyle w:val="StandardWeb"/>
        <w:numPr>
          <w:ilvl w:val="0"/>
          <w:numId w:val="38"/>
        </w:numPr>
        <w:rPr>
          <w:rFonts w:asciiTheme="minorHAnsi" w:hAnsiTheme="minorHAnsi" w:cstheme="minorHAnsi"/>
          <w:color w:val="000000"/>
          <w:sz w:val="22"/>
          <w:szCs w:val="22"/>
        </w:rPr>
      </w:pPr>
      <w:hyperlink r:id="rId37" w:history="1">
        <w:r w:rsidR="0015694B" w:rsidRPr="0015694B">
          <w:rPr>
            <w:rStyle w:val="Hyperlink"/>
            <w:rFonts w:asciiTheme="minorHAnsi" w:hAnsiTheme="minorHAnsi" w:cstheme="minorHAnsi"/>
            <w:sz w:val="22"/>
            <w:szCs w:val="22"/>
          </w:rPr>
          <w:t>Gesetz zur Änderung des Strafgesetzbuches – Stärkung des strafrechtlichen Schutzes vor sogenannten K.-o.-Tropfen</w:t>
        </w:r>
      </w:hyperlink>
    </w:p>
    <w:p w14:paraId="5729AE4D" w14:textId="77777777" w:rsidR="0015694B" w:rsidRPr="0015694B" w:rsidRDefault="00F97EDB" w:rsidP="0015694B">
      <w:pPr>
        <w:pStyle w:val="StandardWeb"/>
        <w:numPr>
          <w:ilvl w:val="0"/>
          <w:numId w:val="38"/>
        </w:numPr>
        <w:rPr>
          <w:rFonts w:asciiTheme="minorHAnsi" w:hAnsiTheme="minorHAnsi" w:cstheme="minorHAnsi"/>
          <w:color w:val="000000"/>
          <w:sz w:val="22"/>
          <w:szCs w:val="22"/>
        </w:rPr>
      </w:pPr>
      <w:hyperlink r:id="rId38" w:history="1">
        <w:r w:rsidR="0015694B" w:rsidRPr="0015694B">
          <w:rPr>
            <w:rStyle w:val="Hyperlink"/>
            <w:rFonts w:asciiTheme="minorHAnsi" w:hAnsiTheme="minorHAnsi" w:cstheme="minorHAnsi"/>
            <w:sz w:val="22"/>
            <w:szCs w:val="22"/>
          </w:rPr>
          <w:t>Entwurf eines Gesetzes zur Änderung des Strafgesetzbuches – Stärkung des strafrechtlichen Schutzes des Gemeinwesens</w:t>
        </w:r>
      </w:hyperlink>
    </w:p>
    <w:p w14:paraId="1B56764D" w14:textId="77777777" w:rsidR="0015694B" w:rsidRPr="0015694B" w:rsidRDefault="00F97EDB" w:rsidP="0015694B">
      <w:pPr>
        <w:pStyle w:val="StandardWeb"/>
        <w:numPr>
          <w:ilvl w:val="0"/>
          <w:numId w:val="38"/>
        </w:numPr>
        <w:rPr>
          <w:rFonts w:asciiTheme="minorHAnsi" w:hAnsiTheme="minorHAnsi" w:cstheme="minorHAnsi"/>
          <w:color w:val="000000"/>
          <w:sz w:val="22"/>
          <w:szCs w:val="22"/>
        </w:rPr>
      </w:pPr>
      <w:hyperlink r:id="rId39" w:history="1">
        <w:r w:rsidR="0015694B" w:rsidRPr="0015694B">
          <w:rPr>
            <w:rStyle w:val="Hyperlink"/>
            <w:rFonts w:asciiTheme="minorHAnsi" w:hAnsiTheme="minorHAnsi" w:cstheme="minorHAnsi"/>
            <w:sz w:val="22"/>
            <w:szCs w:val="22"/>
          </w:rPr>
          <w:t>Gesetz zur Stärkung der strafrechtlichen Verfolgung des Menschenhandels und der sexuellen Ausbeutung sowie zur Umsetzung der Richtlinie (EU) 2024/1712</w:t>
        </w:r>
      </w:hyperlink>
    </w:p>
    <w:p w14:paraId="66842833" w14:textId="77777777" w:rsidR="0015694B" w:rsidRPr="0015694B" w:rsidRDefault="00F97EDB" w:rsidP="0015694B">
      <w:pPr>
        <w:pStyle w:val="StandardWeb"/>
        <w:numPr>
          <w:ilvl w:val="0"/>
          <w:numId w:val="38"/>
        </w:numPr>
        <w:rPr>
          <w:rFonts w:asciiTheme="minorHAnsi" w:hAnsiTheme="minorHAnsi" w:cstheme="minorHAnsi"/>
          <w:color w:val="000000"/>
          <w:sz w:val="22"/>
          <w:szCs w:val="22"/>
        </w:rPr>
      </w:pPr>
      <w:hyperlink r:id="rId40" w:history="1">
        <w:r w:rsidR="0015694B" w:rsidRPr="0015694B">
          <w:rPr>
            <w:rStyle w:val="Hyperlink"/>
            <w:rFonts w:asciiTheme="minorHAnsi" w:hAnsiTheme="minorHAnsi" w:cstheme="minorHAnsi"/>
            <w:sz w:val="22"/>
            <w:szCs w:val="22"/>
          </w:rPr>
          <w:t>Gesetz zur Neuregelung des Rechts der internationalen Rechtshilfe in Strafsachen</w:t>
        </w:r>
      </w:hyperlink>
    </w:p>
    <w:p w14:paraId="199F1FEC" w14:textId="0D1298FC" w:rsidR="0015694B" w:rsidRPr="00063F30" w:rsidRDefault="00F97EDB" w:rsidP="0015694B">
      <w:pPr>
        <w:pStyle w:val="StandardWeb"/>
        <w:numPr>
          <w:ilvl w:val="0"/>
          <w:numId w:val="38"/>
        </w:numPr>
        <w:rPr>
          <w:rStyle w:val="Hyperlink"/>
          <w:color w:val="000000"/>
          <w:u w:val="none"/>
        </w:rPr>
      </w:pPr>
      <w:hyperlink r:id="rId41" w:history="1">
        <w:r w:rsidR="0015694B" w:rsidRPr="0015694B">
          <w:rPr>
            <w:rStyle w:val="Hyperlink"/>
            <w:rFonts w:asciiTheme="minorHAnsi" w:hAnsiTheme="minorHAnsi" w:cstheme="minorHAnsi"/>
            <w:sz w:val="22"/>
            <w:szCs w:val="22"/>
          </w:rPr>
          <w:t>Gesetz zur Stärkung der genossenschaftlichen Rechtsform</w:t>
        </w:r>
      </w:hyperlink>
    </w:p>
    <w:p w14:paraId="1D83B924" w14:textId="11B9784B" w:rsidR="00063F30" w:rsidRPr="00063F30" w:rsidRDefault="00063F30" w:rsidP="0015694B">
      <w:pPr>
        <w:pStyle w:val="StandardWeb"/>
        <w:numPr>
          <w:ilvl w:val="0"/>
          <w:numId w:val="38"/>
        </w:numPr>
        <w:rPr>
          <w:rStyle w:val="Hyperlink"/>
          <w:rFonts w:asciiTheme="minorHAnsi" w:hAnsiTheme="minorHAnsi" w:cstheme="minorHAnsi"/>
          <w:color w:val="000000"/>
          <w:sz w:val="22"/>
          <w:szCs w:val="22"/>
          <w:u w:val="none"/>
        </w:rPr>
      </w:pPr>
      <w:hyperlink r:id="rId42" w:history="1">
        <w:r w:rsidRPr="00063F30">
          <w:rPr>
            <w:rStyle w:val="Hyperlink"/>
            <w:rFonts w:asciiTheme="minorHAnsi" w:hAnsiTheme="minorHAnsi" w:cstheme="minorHAnsi"/>
            <w:sz w:val="22"/>
            <w:szCs w:val="22"/>
          </w:rPr>
          <w:t>Gesetz zur Änderung des Allgemeinen Gleichbehandlungsgesetzes</w:t>
        </w:r>
      </w:hyperlink>
    </w:p>
    <w:p w14:paraId="6E8D7B4D" w14:textId="46CC5226" w:rsidR="0021029C" w:rsidRDefault="0021029C" w:rsidP="0021029C">
      <w:pPr>
        <w:pStyle w:val="StandardWeb"/>
        <w:rPr>
          <w:rStyle w:val="Hyperlink"/>
          <w:rFonts w:asciiTheme="minorHAnsi" w:hAnsiTheme="minorHAnsi" w:cstheme="minorHAnsi"/>
          <w:b/>
          <w:bCs/>
          <w:color w:val="auto"/>
          <w:sz w:val="22"/>
          <w:szCs w:val="22"/>
          <w:u w:val="none"/>
        </w:rPr>
      </w:pPr>
      <w:r w:rsidRPr="0021029C">
        <w:rPr>
          <w:rStyle w:val="Hyperlink"/>
          <w:rFonts w:asciiTheme="minorHAnsi" w:hAnsiTheme="minorHAnsi" w:cstheme="minorHAnsi"/>
          <w:b/>
          <w:bCs/>
          <w:color w:val="auto"/>
          <w:sz w:val="22"/>
          <w:szCs w:val="22"/>
          <w:u w:val="none"/>
        </w:rPr>
        <w:t xml:space="preserve">Aktuelle Kabinettsbeschlüsse der Bundesregierung, FF BMJV: </w:t>
      </w:r>
    </w:p>
    <w:p w14:paraId="27786501" w14:textId="12FC6BFA" w:rsidR="0021029C" w:rsidRPr="00063F30" w:rsidRDefault="0021029C" w:rsidP="00063F30">
      <w:pPr>
        <w:pStyle w:val="StandardWeb"/>
        <w:numPr>
          <w:ilvl w:val="0"/>
          <w:numId w:val="41"/>
        </w:numPr>
        <w:rPr>
          <w:rStyle w:val="Hyperlink"/>
          <w:rFonts w:asciiTheme="minorHAnsi" w:hAnsiTheme="minorHAnsi" w:cstheme="minorHAnsi"/>
          <w:color w:val="auto"/>
          <w:sz w:val="22"/>
          <w:szCs w:val="22"/>
          <w:u w:val="none"/>
        </w:rPr>
      </w:pPr>
      <w:hyperlink r:id="rId43" w:history="1">
        <w:r w:rsidRPr="00063F30">
          <w:rPr>
            <w:rStyle w:val="Hyperlink"/>
            <w:rFonts w:asciiTheme="minorHAnsi" w:hAnsiTheme="minorHAnsi" w:cstheme="minorHAnsi"/>
            <w:sz w:val="22"/>
            <w:szCs w:val="22"/>
          </w:rPr>
          <w:t>Gesetz zur Änderung des Rechts der Wohn- und Geschäftsraummiete</w:t>
        </w:r>
      </w:hyperlink>
    </w:p>
    <w:p w14:paraId="0FEFFEBA" w14:textId="78C719C7" w:rsidR="0021029C" w:rsidRPr="00063F30" w:rsidRDefault="0021029C" w:rsidP="00063F30">
      <w:pPr>
        <w:pStyle w:val="StandardWeb"/>
        <w:numPr>
          <w:ilvl w:val="0"/>
          <w:numId w:val="41"/>
        </w:numPr>
        <w:rPr>
          <w:rStyle w:val="Hyperlink"/>
          <w:rFonts w:asciiTheme="minorHAnsi" w:hAnsiTheme="minorHAnsi" w:cstheme="minorHAnsi"/>
          <w:color w:val="auto"/>
          <w:sz w:val="22"/>
          <w:szCs w:val="22"/>
          <w:u w:val="none"/>
        </w:rPr>
      </w:pPr>
      <w:hyperlink r:id="rId44" w:history="1">
        <w:r w:rsidRPr="00063F30">
          <w:rPr>
            <w:rStyle w:val="Hyperlink"/>
            <w:rFonts w:asciiTheme="minorHAnsi" w:hAnsiTheme="minorHAnsi" w:cstheme="minorHAnsi"/>
            <w:sz w:val="22"/>
            <w:szCs w:val="22"/>
          </w:rPr>
          <w:t>Gesetz zur Änderung der Strafprozessordnung – digitale Ermittlungsmaßnahmen</w:t>
        </w:r>
      </w:hyperlink>
    </w:p>
    <w:p w14:paraId="357139FE" w14:textId="0934DDD5" w:rsidR="0021029C" w:rsidRPr="00063F30" w:rsidRDefault="0021029C" w:rsidP="00063F30">
      <w:pPr>
        <w:pStyle w:val="StandardWeb"/>
        <w:numPr>
          <w:ilvl w:val="0"/>
          <w:numId w:val="41"/>
        </w:numPr>
        <w:rPr>
          <w:rStyle w:val="Hyperlink"/>
          <w:rFonts w:asciiTheme="minorHAnsi" w:hAnsiTheme="minorHAnsi" w:cstheme="minorHAnsi"/>
          <w:color w:val="auto"/>
          <w:sz w:val="22"/>
          <w:szCs w:val="22"/>
          <w:u w:val="none"/>
        </w:rPr>
      </w:pPr>
      <w:hyperlink r:id="rId45" w:history="1">
        <w:r w:rsidRPr="00063F30">
          <w:rPr>
            <w:rStyle w:val="Hyperlink"/>
            <w:rFonts w:asciiTheme="minorHAnsi" w:hAnsiTheme="minorHAnsi" w:cstheme="minorHAnsi"/>
            <w:sz w:val="22"/>
            <w:szCs w:val="22"/>
          </w:rPr>
          <w:t>Gesetz zur Änderung des Strafrechts – Umsetzung der Richtlinie (EU) 2024/1203 über den strafrechtlichen Schutz der Umwelt</w:t>
        </w:r>
      </w:hyperlink>
    </w:p>
    <w:p w14:paraId="352C7536" w14:textId="4C2EF5A4" w:rsidR="0021029C" w:rsidRPr="00063F30" w:rsidRDefault="0021029C" w:rsidP="00063F30">
      <w:pPr>
        <w:pStyle w:val="StandardWeb"/>
        <w:numPr>
          <w:ilvl w:val="0"/>
          <w:numId w:val="41"/>
        </w:numPr>
        <w:rPr>
          <w:rStyle w:val="Hyperlink"/>
          <w:rFonts w:asciiTheme="minorHAnsi" w:hAnsiTheme="minorHAnsi" w:cstheme="minorHAnsi"/>
          <w:color w:val="auto"/>
          <w:sz w:val="22"/>
          <w:szCs w:val="22"/>
          <w:u w:val="none"/>
        </w:rPr>
      </w:pPr>
      <w:hyperlink r:id="rId46" w:history="1">
        <w:r w:rsidRPr="00063F30">
          <w:rPr>
            <w:rStyle w:val="Hyperlink"/>
            <w:rFonts w:asciiTheme="minorHAnsi" w:hAnsiTheme="minorHAnsi" w:cstheme="minorHAnsi"/>
            <w:sz w:val="22"/>
            <w:szCs w:val="22"/>
          </w:rPr>
          <w:t>Gesetz zur Einführung einer IP-Adressspeicherung und Weiterentwicklung der Befugnisse zur Datenerhebung im Strafverfahren</w:t>
        </w:r>
      </w:hyperlink>
    </w:p>
    <w:p w14:paraId="318058F2" w14:textId="4092766F" w:rsidR="0021029C" w:rsidRPr="00063F30" w:rsidRDefault="0021029C" w:rsidP="00063F30">
      <w:pPr>
        <w:pStyle w:val="StandardWeb"/>
        <w:numPr>
          <w:ilvl w:val="0"/>
          <w:numId w:val="41"/>
        </w:numPr>
        <w:rPr>
          <w:rStyle w:val="Hyperlink"/>
          <w:rFonts w:asciiTheme="minorHAnsi" w:hAnsiTheme="minorHAnsi" w:cstheme="minorHAnsi"/>
          <w:color w:val="auto"/>
          <w:sz w:val="22"/>
          <w:szCs w:val="22"/>
          <w:u w:val="none"/>
        </w:rPr>
      </w:pPr>
      <w:hyperlink r:id="rId47" w:history="1">
        <w:r w:rsidRPr="00063F30">
          <w:rPr>
            <w:rStyle w:val="Hyperlink"/>
            <w:rFonts w:asciiTheme="minorHAnsi" w:hAnsiTheme="minorHAnsi" w:cstheme="minorHAnsi"/>
            <w:sz w:val="22"/>
            <w:szCs w:val="22"/>
          </w:rPr>
          <w:t>Gesetz zur Änderung des Versorgungsausgleichsrechts</w:t>
        </w:r>
      </w:hyperlink>
    </w:p>
    <w:p w14:paraId="1438928D" w14:textId="4DD662B4" w:rsidR="00063F30" w:rsidRPr="00063F30" w:rsidRDefault="00063F30" w:rsidP="00063F30">
      <w:pPr>
        <w:pStyle w:val="StandardWeb"/>
        <w:numPr>
          <w:ilvl w:val="0"/>
          <w:numId w:val="41"/>
        </w:numPr>
        <w:rPr>
          <w:rStyle w:val="Hyperlink"/>
          <w:rFonts w:asciiTheme="minorHAnsi" w:hAnsiTheme="minorHAnsi" w:cstheme="minorHAnsi"/>
          <w:color w:val="auto"/>
          <w:sz w:val="22"/>
          <w:szCs w:val="22"/>
          <w:u w:val="none"/>
        </w:rPr>
      </w:pPr>
      <w:hyperlink r:id="rId48" w:history="1">
        <w:r w:rsidRPr="00063F30">
          <w:rPr>
            <w:rStyle w:val="Hyperlink"/>
            <w:rFonts w:asciiTheme="minorHAnsi" w:hAnsiTheme="minorHAnsi" w:cstheme="minorHAnsi"/>
            <w:sz w:val="22"/>
            <w:szCs w:val="22"/>
          </w:rPr>
          <w:t>Gesetz zur Modernisierung des Verpflichtungsgesetzes und zur Änderung des Europäische-Staatsanwaltschaft-Gesetzes</w:t>
        </w:r>
      </w:hyperlink>
    </w:p>
    <w:p w14:paraId="1747BC58" w14:textId="0612AD3F" w:rsidR="0021029C" w:rsidRDefault="0021029C" w:rsidP="0021029C">
      <w:pPr>
        <w:pStyle w:val="StandardWeb"/>
        <w:rPr>
          <w:b/>
          <w:bCs/>
          <w:color w:val="000000"/>
        </w:rPr>
      </w:pPr>
    </w:p>
    <w:p w14:paraId="158D035C" w14:textId="44ECE2E0" w:rsidR="00C967F9" w:rsidRDefault="00C967F9" w:rsidP="0021029C">
      <w:pPr>
        <w:pStyle w:val="StandardWeb"/>
        <w:rPr>
          <w:b/>
          <w:bCs/>
          <w:color w:val="000000"/>
        </w:rPr>
      </w:pPr>
    </w:p>
    <w:p w14:paraId="4EC88391" w14:textId="77777777" w:rsidR="00C967F9" w:rsidRPr="0021029C" w:rsidRDefault="00C967F9" w:rsidP="0021029C">
      <w:pPr>
        <w:pStyle w:val="StandardWeb"/>
        <w:rPr>
          <w:b/>
          <w:bCs/>
          <w:color w:val="000000"/>
        </w:rPr>
      </w:pPr>
    </w:p>
    <w:p w14:paraId="2933DD9D" w14:textId="77777777" w:rsidR="00D01117" w:rsidRDefault="00D01117" w:rsidP="00D9762F">
      <w:pPr>
        <w:shd w:val="clear" w:color="auto" w:fill="D9D9D9" w:themeFill="background1" w:themeFillShade="D9"/>
        <w:jc w:val="center"/>
        <w:rPr>
          <w:b/>
          <w:sz w:val="32"/>
          <w:szCs w:val="32"/>
        </w:rPr>
      </w:pPr>
      <w:r>
        <w:rPr>
          <w:b/>
          <w:sz w:val="32"/>
          <w:szCs w:val="32"/>
        </w:rPr>
        <w:t>Vertretung des Landes Nordrhein-Westfalen</w:t>
      </w:r>
    </w:p>
    <w:p w14:paraId="5B74D164" w14:textId="77777777" w:rsidR="006A5E31" w:rsidRDefault="006A5E31" w:rsidP="00D9762F">
      <w:r>
        <w:t>Informationen über die Arbeit der Vertretung des Landes Nordrhein-Westfalen beim Bund und über dortige Veranstaltungen finden Sie auf</w:t>
      </w:r>
    </w:p>
    <w:p w14:paraId="25AE8B63" w14:textId="4CA9C785" w:rsidR="00D3160C" w:rsidRDefault="00F97EDB" w:rsidP="00AC33AF">
      <w:hyperlink r:id="rId49" w:history="1">
        <w:r w:rsidR="00AC33AF" w:rsidRPr="00132F3A">
          <w:rPr>
            <w:rStyle w:val="Hyperlink"/>
          </w:rPr>
          <w:t>https://www.mbeim.nr</w:t>
        </w:r>
        <w:r w:rsidR="00AC33AF" w:rsidRPr="00132F3A">
          <w:rPr>
            <w:rStyle w:val="Hyperlink"/>
          </w:rPr>
          <w:t>w</w:t>
        </w:r>
        <w:r w:rsidR="00AC33AF" w:rsidRPr="00132F3A">
          <w:rPr>
            <w:rStyle w:val="Hyperlink"/>
          </w:rPr>
          <w:t>/nrw-berlin</w:t>
        </w:r>
      </w:hyperlink>
    </w:p>
    <w:p w14:paraId="2E59F9E9" w14:textId="77777777" w:rsidR="00AC33AF" w:rsidRPr="0076138E" w:rsidRDefault="00AC33AF" w:rsidP="00AC33AF"/>
    <w:sectPr w:rsidR="00AC33AF" w:rsidRPr="0076138E">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C520" w14:textId="77777777" w:rsidR="007E036E" w:rsidRDefault="007E036E" w:rsidP="00F738FA">
      <w:pPr>
        <w:spacing w:after="0" w:line="240" w:lineRule="auto"/>
      </w:pPr>
      <w:r>
        <w:separator/>
      </w:r>
    </w:p>
  </w:endnote>
  <w:endnote w:type="continuationSeparator" w:id="0">
    <w:p w14:paraId="415C80F7" w14:textId="77777777" w:rsidR="007E036E" w:rsidRDefault="007E036E" w:rsidP="00F7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OpenSans">
    <w:altName w:val="Calibri"/>
    <w:panose1 w:val="00000000000000000000"/>
    <w:charset w:val="00"/>
    <w:family w:val="auto"/>
    <w:notTrueType/>
    <w:pitch w:val="default"/>
    <w:sig w:usb0="00000003" w:usb1="08070000" w:usb2="00000010" w:usb3="00000000" w:csb0="00020001" w:csb1="00000000"/>
  </w:font>
  <w:font w:name="OpenSans,Italic">
    <w:altName w:val="Calibri"/>
    <w:panose1 w:val="00000000000000000000"/>
    <w:charset w:val="00"/>
    <w:family w:val="auto"/>
    <w:notTrueType/>
    <w:pitch w:val="default"/>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409D" w14:textId="77777777" w:rsidR="00F738FA" w:rsidRPr="00F738FA" w:rsidRDefault="00F738FA">
    <w:pPr>
      <w:rPr>
        <w:color w:val="808080" w:themeColor="background1" w:themeShade="80"/>
      </w:rPr>
    </w:pP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738FA" w:rsidRPr="00F738FA" w14:paraId="60104E9D" w14:textId="77777777" w:rsidTr="00F738FA">
      <w:tc>
        <w:tcPr>
          <w:tcW w:w="3020" w:type="dxa"/>
        </w:tcPr>
        <w:p w14:paraId="042FC85E" w14:textId="77777777" w:rsidR="00F738FA" w:rsidRPr="00F738FA" w:rsidRDefault="00F738FA">
          <w:pPr>
            <w:pStyle w:val="Fuzeile"/>
            <w:rPr>
              <w:color w:val="808080" w:themeColor="background1" w:themeShade="80"/>
              <w:sz w:val="20"/>
              <w:szCs w:val="20"/>
            </w:rPr>
          </w:pPr>
          <w:r w:rsidRPr="00F738FA">
            <w:rPr>
              <w:color w:val="808080" w:themeColor="background1" w:themeShade="80"/>
              <w:sz w:val="20"/>
              <w:szCs w:val="20"/>
            </w:rPr>
            <w:t>Neues aus Berlin - Justizbereich</w:t>
          </w:r>
        </w:p>
      </w:tc>
      <w:tc>
        <w:tcPr>
          <w:tcW w:w="3021" w:type="dxa"/>
        </w:tcPr>
        <w:p w14:paraId="38265F0B" w14:textId="7AE05EA7" w:rsidR="00F738FA" w:rsidRPr="00F738FA" w:rsidRDefault="007F104B" w:rsidP="00A16ABA">
          <w:pPr>
            <w:pStyle w:val="Fuzeile"/>
            <w:jc w:val="center"/>
            <w:rPr>
              <w:color w:val="808080" w:themeColor="background1" w:themeShade="80"/>
              <w:sz w:val="20"/>
              <w:szCs w:val="20"/>
            </w:rPr>
          </w:pPr>
          <w:r>
            <w:rPr>
              <w:color w:val="808080" w:themeColor="background1" w:themeShade="80"/>
              <w:sz w:val="20"/>
              <w:szCs w:val="20"/>
            </w:rPr>
            <w:t>März</w:t>
          </w:r>
          <w:r w:rsidR="00A023EB">
            <w:rPr>
              <w:color w:val="808080" w:themeColor="background1" w:themeShade="80"/>
              <w:sz w:val="20"/>
              <w:szCs w:val="20"/>
            </w:rPr>
            <w:t>/</w:t>
          </w:r>
          <w:r>
            <w:rPr>
              <w:color w:val="808080" w:themeColor="background1" w:themeShade="80"/>
              <w:sz w:val="20"/>
              <w:szCs w:val="20"/>
            </w:rPr>
            <w:t>April</w:t>
          </w:r>
          <w:r w:rsidR="00A16ABA">
            <w:rPr>
              <w:color w:val="808080" w:themeColor="background1" w:themeShade="80"/>
              <w:sz w:val="20"/>
              <w:szCs w:val="20"/>
            </w:rPr>
            <w:t xml:space="preserve"> 202</w:t>
          </w:r>
          <w:r w:rsidR="00A023EB">
            <w:rPr>
              <w:color w:val="808080" w:themeColor="background1" w:themeShade="80"/>
              <w:sz w:val="20"/>
              <w:szCs w:val="20"/>
            </w:rPr>
            <w:t>6</w:t>
          </w:r>
        </w:p>
      </w:tc>
      <w:tc>
        <w:tcPr>
          <w:tcW w:w="3021" w:type="dxa"/>
        </w:tcPr>
        <w:p w14:paraId="3318F8DF" w14:textId="334CB6F4" w:rsidR="00F738FA" w:rsidRPr="00F738FA" w:rsidRDefault="00F738FA" w:rsidP="00F738FA">
          <w:pPr>
            <w:pStyle w:val="Fuzeile"/>
            <w:jc w:val="right"/>
            <w:rPr>
              <w:color w:val="808080" w:themeColor="background1" w:themeShade="80"/>
              <w:sz w:val="20"/>
              <w:szCs w:val="20"/>
            </w:rPr>
          </w:pPr>
          <w:r w:rsidRPr="00F738FA">
            <w:rPr>
              <w:color w:val="808080" w:themeColor="background1" w:themeShade="80"/>
              <w:sz w:val="20"/>
              <w:szCs w:val="20"/>
            </w:rPr>
            <w:fldChar w:fldCharType="begin"/>
          </w:r>
          <w:r w:rsidRPr="00F738FA">
            <w:rPr>
              <w:color w:val="808080" w:themeColor="background1" w:themeShade="80"/>
              <w:sz w:val="20"/>
              <w:szCs w:val="20"/>
            </w:rPr>
            <w:instrText>PAGE   \* MERGEFORMAT</w:instrText>
          </w:r>
          <w:r w:rsidRPr="00F738FA">
            <w:rPr>
              <w:color w:val="808080" w:themeColor="background1" w:themeShade="80"/>
              <w:sz w:val="20"/>
              <w:szCs w:val="20"/>
            </w:rPr>
            <w:fldChar w:fldCharType="separate"/>
          </w:r>
          <w:r w:rsidR="00CD1C38">
            <w:rPr>
              <w:noProof/>
              <w:color w:val="808080" w:themeColor="background1" w:themeShade="80"/>
              <w:sz w:val="20"/>
              <w:szCs w:val="20"/>
            </w:rPr>
            <w:t>9</w:t>
          </w:r>
          <w:r w:rsidRPr="00F738FA">
            <w:rPr>
              <w:color w:val="808080" w:themeColor="background1" w:themeShade="80"/>
              <w:sz w:val="20"/>
              <w:szCs w:val="20"/>
            </w:rPr>
            <w:fldChar w:fldCharType="end"/>
          </w:r>
        </w:p>
      </w:tc>
    </w:tr>
  </w:tbl>
  <w:p w14:paraId="6CA4C170" w14:textId="77777777" w:rsidR="00F738FA" w:rsidRPr="00F738FA" w:rsidRDefault="00F738FA">
    <w:pPr>
      <w:pStyle w:val="Fuzeile"/>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F2CA" w14:textId="77777777" w:rsidR="007E036E" w:rsidRDefault="007E036E" w:rsidP="00F738FA">
      <w:pPr>
        <w:spacing w:after="0" w:line="240" w:lineRule="auto"/>
      </w:pPr>
      <w:r>
        <w:separator/>
      </w:r>
    </w:p>
  </w:footnote>
  <w:footnote w:type="continuationSeparator" w:id="0">
    <w:p w14:paraId="06F0539E" w14:textId="77777777" w:rsidR="007E036E" w:rsidRDefault="007E036E" w:rsidP="00F73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F13"/>
    <w:multiLevelType w:val="hybridMultilevel"/>
    <w:tmpl w:val="ED9C3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9F537C"/>
    <w:multiLevelType w:val="hybridMultilevel"/>
    <w:tmpl w:val="16CE6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B52B6C"/>
    <w:multiLevelType w:val="hybridMultilevel"/>
    <w:tmpl w:val="D58E4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312616"/>
    <w:multiLevelType w:val="hybridMultilevel"/>
    <w:tmpl w:val="FDA2D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035CF8"/>
    <w:multiLevelType w:val="hybridMultilevel"/>
    <w:tmpl w:val="DC845384"/>
    <w:lvl w:ilvl="0" w:tplc="24460B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8E76B8"/>
    <w:multiLevelType w:val="hybridMultilevel"/>
    <w:tmpl w:val="9434F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0075FD"/>
    <w:multiLevelType w:val="hybridMultilevel"/>
    <w:tmpl w:val="722A3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B268F5"/>
    <w:multiLevelType w:val="hybridMultilevel"/>
    <w:tmpl w:val="7A3244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FB5A3F"/>
    <w:multiLevelType w:val="hybridMultilevel"/>
    <w:tmpl w:val="CD9C5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227DE2"/>
    <w:multiLevelType w:val="hybridMultilevel"/>
    <w:tmpl w:val="1332C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952F3E"/>
    <w:multiLevelType w:val="hybridMultilevel"/>
    <w:tmpl w:val="2410C38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71204E"/>
    <w:multiLevelType w:val="hybridMultilevel"/>
    <w:tmpl w:val="177A16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9B3CAC"/>
    <w:multiLevelType w:val="hybridMultilevel"/>
    <w:tmpl w:val="A742F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DF3C93"/>
    <w:multiLevelType w:val="hybridMultilevel"/>
    <w:tmpl w:val="34D68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C9540D"/>
    <w:multiLevelType w:val="hybridMultilevel"/>
    <w:tmpl w:val="9B4C2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6F65D2"/>
    <w:multiLevelType w:val="multilevel"/>
    <w:tmpl w:val="9424B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57377"/>
    <w:multiLevelType w:val="hybridMultilevel"/>
    <w:tmpl w:val="E4CE4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6D03B51"/>
    <w:multiLevelType w:val="hybridMultilevel"/>
    <w:tmpl w:val="84589E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2C416995"/>
    <w:multiLevelType w:val="hybridMultilevel"/>
    <w:tmpl w:val="A4AE3F68"/>
    <w:lvl w:ilvl="0" w:tplc="D11A5C92">
      <w:start w:val="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E1F0CE5"/>
    <w:multiLevelType w:val="hybridMultilevel"/>
    <w:tmpl w:val="D26290D4"/>
    <w:lvl w:ilvl="0" w:tplc="D03ABAF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0AB4D96"/>
    <w:multiLevelType w:val="hybridMultilevel"/>
    <w:tmpl w:val="DC2C1A12"/>
    <w:lvl w:ilvl="0" w:tplc="18526C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B9D42A2"/>
    <w:multiLevelType w:val="hybridMultilevel"/>
    <w:tmpl w:val="FC54CF4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429A55A9"/>
    <w:multiLevelType w:val="hybridMultilevel"/>
    <w:tmpl w:val="1BFAB6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55B655D"/>
    <w:multiLevelType w:val="hybridMultilevel"/>
    <w:tmpl w:val="84C28994"/>
    <w:lvl w:ilvl="0" w:tplc="DC7E488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C56876"/>
    <w:multiLevelType w:val="hybridMultilevel"/>
    <w:tmpl w:val="80640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5DB302D"/>
    <w:multiLevelType w:val="hybridMultilevel"/>
    <w:tmpl w:val="5380EBE2"/>
    <w:lvl w:ilvl="0" w:tplc="A0EC0A3E">
      <w:start w:val="32"/>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365294"/>
    <w:multiLevelType w:val="hybridMultilevel"/>
    <w:tmpl w:val="A98AA1A4"/>
    <w:lvl w:ilvl="0" w:tplc="AFE8F03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665CC9"/>
    <w:multiLevelType w:val="hybridMultilevel"/>
    <w:tmpl w:val="CB12F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2CE7CAC"/>
    <w:multiLevelType w:val="hybridMultilevel"/>
    <w:tmpl w:val="52DC31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314868"/>
    <w:multiLevelType w:val="hybridMultilevel"/>
    <w:tmpl w:val="246EF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3994A1D"/>
    <w:multiLevelType w:val="hybridMultilevel"/>
    <w:tmpl w:val="EE48E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7C69B3"/>
    <w:multiLevelType w:val="hybridMultilevel"/>
    <w:tmpl w:val="8C4CD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D946A7"/>
    <w:multiLevelType w:val="hybridMultilevel"/>
    <w:tmpl w:val="4F1C3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7E12995"/>
    <w:multiLevelType w:val="multilevel"/>
    <w:tmpl w:val="D1BEF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E0F43"/>
    <w:multiLevelType w:val="hybridMultilevel"/>
    <w:tmpl w:val="4A3C3AE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5F4B7863"/>
    <w:multiLevelType w:val="hybridMultilevel"/>
    <w:tmpl w:val="5BFEB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BE6264"/>
    <w:multiLevelType w:val="hybridMultilevel"/>
    <w:tmpl w:val="E22A2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B1E353F"/>
    <w:multiLevelType w:val="hybridMultilevel"/>
    <w:tmpl w:val="E5684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323DEF"/>
    <w:multiLevelType w:val="hybridMultilevel"/>
    <w:tmpl w:val="8D268F38"/>
    <w:lvl w:ilvl="0" w:tplc="D11A5C92">
      <w:start w:val="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447058"/>
    <w:multiLevelType w:val="hybridMultilevel"/>
    <w:tmpl w:val="7A326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F479AE"/>
    <w:multiLevelType w:val="hybridMultilevel"/>
    <w:tmpl w:val="98DEE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3"/>
  </w:num>
  <w:num w:numId="4">
    <w:abstractNumId w:val="10"/>
  </w:num>
  <w:num w:numId="5">
    <w:abstractNumId w:val="21"/>
  </w:num>
  <w:num w:numId="6">
    <w:abstractNumId w:val="36"/>
  </w:num>
  <w:num w:numId="7">
    <w:abstractNumId w:val="0"/>
  </w:num>
  <w:num w:numId="8">
    <w:abstractNumId w:val="32"/>
  </w:num>
  <w:num w:numId="9">
    <w:abstractNumId w:val="20"/>
  </w:num>
  <w:num w:numId="10">
    <w:abstractNumId w:val="31"/>
  </w:num>
  <w:num w:numId="11">
    <w:abstractNumId w:val="9"/>
  </w:num>
  <w:num w:numId="12">
    <w:abstractNumId w:val="29"/>
  </w:num>
  <w:num w:numId="13">
    <w:abstractNumId w:val="13"/>
  </w:num>
  <w:num w:numId="14">
    <w:abstractNumId w:val="1"/>
  </w:num>
  <w:num w:numId="15">
    <w:abstractNumId w:val="30"/>
  </w:num>
  <w:num w:numId="16">
    <w:abstractNumId w:val="40"/>
  </w:num>
  <w:num w:numId="17">
    <w:abstractNumId w:val="26"/>
  </w:num>
  <w:num w:numId="18">
    <w:abstractNumId w:val="37"/>
  </w:num>
  <w:num w:numId="19">
    <w:abstractNumId w:val="6"/>
  </w:num>
  <w:num w:numId="20">
    <w:abstractNumId w:val="8"/>
  </w:num>
  <w:num w:numId="21">
    <w:abstractNumId w:val="4"/>
  </w:num>
  <w:num w:numId="22">
    <w:abstractNumId w:val="27"/>
  </w:num>
  <w:num w:numId="23">
    <w:abstractNumId w:val="14"/>
  </w:num>
  <w:num w:numId="24">
    <w:abstractNumId w:val="3"/>
  </w:num>
  <w:num w:numId="25">
    <w:abstractNumId w:val="24"/>
  </w:num>
  <w:num w:numId="26">
    <w:abstractNumId w:val="18"/>
  </w:num>
  <w:num w:numId="27">
    <w:abstractNumId w:val="34"/>
  </w:num>
  <w:num w:numId="28">
    <w:abstractNumId w:val="38"/>
  </w:num>
  <w:num w:numId="29">
    <w:abstractNumId w:val="35"/>
  </w:num>
  <w:num w:numId="30">
    <w:abstractNumId w:val="12"/>
  </w:num>
  <w:num w:numId="31">
    <w:abstractNumId w:val="11"/>
  </w:num>
  <w:num w:numId="32">
    <w:abstractNumId w:val="39"/>
  </w:num>
  <w:num w:numId="33">
    <w:abstractNumId w:val="28"/>
  </w:num>
  <w:num w:numId="34">
    <w:abstractNumId w:val="17"/>
  </w:num>
  <w:num w:numId="35">
    <w:abstractNumId w:val="19"/>
  </w:num>
  <w:num w:numId="36">
    <w:abstractNumId w:val="2"/>
  </w:num>
  <w:num w:numId="37">
    <w:abstractNumId w:val="33"/>
  </w:num>
  <w:num w:numId="38">
    <w:abstractNumId w:val="15"/>
  </w:num>
  <w:num w:numId="39">
    <w:abstractNumId w:val="25"/>
  </w:num>
  <w:num w:numId="40">
    <w:abstractNumId w:val="22"/>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7E"/>
    <w:rsid w:val="0000171F"/>
    <w:rsid w:val="00003FF4"/>
    <w:rsid w:val="0000750D"/>
    <w:rsid w:val="00014152"/>
    <w:rsid w:val="00014991"/>
    <w:rsid w:val="00014D4F"/>
    <w:rsid w:val="000204DB"/>
    <w:rsid w:val="000461E1"/>
    <w:rsid w:val="00052BD2"/>
    <w:rsid w:val="000545C6"/>
    <w:rsid w:val="00054B47"/>
    <w:rsid w:val="00061663"/>
    <w:rsid w:val="00063F30"/>
    <w:rsid w:val="00064A58"/>
    <w:rsid w:val="00066114"/>
    <w:rsid w:val="00066332"/>
    <w:rsid w:val="00071C6E"/>
    <w:rsid w:val="00072843"/>
    <w:rsid w:val="000732C9"/>
    <w:rsid w:val="00074293"/>
    <w:rsid w:val="00080AA7"/>
    <w:rsid w:val="0009119C"/>
    <w:rsid w:val="00095794"/>
    <w:rsid w:val="00096CCC"/>
    <w:rsid w:val="00097E4F"/>
    <w:rsid w:val="000A3D87"/>
    <w:rsid w:val="000A4582"/>
    <w:rsid w:val="000B373F"/>
    <w:rsid w:val="000B6233"/>
    <w:rsid w:val="000C180E"/>
    <w:rsid w:val="000C7275"/>
    <w:rsid w:val="000C760C"/>
    <w:rsid w:val="000D36B5"/>
    <w:rsid w:val="000E3E54"/>
    <w:rsid w:val="000E7B1A"/>
    <w:rsid w:val="000F5467"/>
    <w:rsid w:val="000F6409"/>
    <w:rsid w:val="00100F28"/>
    <w:rsid w:val="00106562"/>
    <w:rsid w:val="00115DEF"/>
    <w:rsid w:val="00115FA6"/>
    <w:rsid w:val="00122D92"/>
    <w:rsid w:val="00126BE7"/>
    <w:rsid w:val="00130D95"/>
    <w:rsid w:val="00130E1A"/>
    <w:rsid w:val="00137491"/>
    <w:rsid w:val="00142100"/>
    <w:rsid w:val="00142B7B"/>
    <w:rsid w:val="00146005"/>
    <w:rsid w:val="0015694B"/>
    <w:rsid w:val="00165D0D"/>
    <w:rsid w:val="0017178D"/>
    <w:rsid w:val="00173876"/>
    <w:rsid w:val="00176C5E"/>
    <w:rsid w:val="00181AA6"/>
    <w:rsid w:val="001845E7"/>
    <w:rsid w:val="0018470C"/>
    <w:rsid w:val="001912C8"/>
    <w:rsid w:val="001A1165"/>
    <w:rsid w:val="001A338B"/>
    <w:rsid w:val="001A79B9"/>
    <w:rsid w:val="001A7A56"/>
    <w:rsid w:val="001D4CE9"/>
    <w:rsid w:val="001D646C"/>
    <w:rsid w:val="001E5862"/>
    <w:rsid w:val="001F290E"/>
    <w:rsid w:val="001F51EA"/>
    <w:rsid w:val="001F6DD3"/>
    <w:rsid w:val="00203C58"/>
    <w:rsid w:val="0021029C"/>
    <w:rsid w:val="0021185F"/>
    <w:rsid w:val="00217079"/>
    <w:rsid w:val="0022749A"/>
    <w:rsid w:val="00230C78"/>
    <w:rsid w:val="00231DE9"/>
    <w:rsid w:val="002400EE"/>
    <w:rsid w:val="0024241B"/>
    <w:rsid w:val="00242D0A"/>
    <w:rsid w:val="00252137"/>
    <w:rsid w:val="00252BFF"/>
    <w:rsid w:val="002557C0"/>
    <w:rsid w:val="00263C95"/>
    <w:rsid w:val="00265AE3"/>
    <w:rsid w:val="00281C00"/>
    <w:rsid w:val="00284E85"/>
    <w:rsid w:val="00292FC8"/>
    <w:rsid w:val="002946C5"/>
    <w:rsid w:val="002A50A6"/>
    <w:rsid w:val="002B0225"/>
    <w:rsid w:val="002B0FC3"/>
    <w:rsid w:val="002C7C5C"/>
    <w:rsid w:val="002D1501"/>
    <w:rsid w:val="002D2BE5"/>
    <w:rsid w:val="002D34C6"/>
    <w:rsid w:val="002D3F55"/>
    <w:rsid w:val="002D74F6"/>
    <w:rsid w:val="002E005F"/>
    <w:rsid w:val="002E0E4A"/>
    <w:rsid w:val="002E4DD7"/>
    <w:rsid w:val="002E5EC1"/>
    <w:rsid w:val="002F0B83"/>
    <w:rsid w:val="002F1A6B"/>
    <w:rsid w:val="00302DA6"/>
    <w:rsid w:val="00306DA8"/>
    <w:rsid w:val="00310FB3"/>
    <w:rsid w:val="00312AD0"/>
    <w:rsid w:val="00312D40"/>
    <w:rsid w:val="003158E9"/>
    <w:rsid w:val="003213B4"/>
    <w:rsid w:val="00327158"/>
    <w:rsid w:val="00334310"/>
    <w:rsid w:val="003402AE"/>
    <w:rsid w:val="00341284"/>
    <w:rsid w:val="00343A61"/>
    <w:rsid w:val="00343A62"/>
    <w:rsid w:val="0035217C"/>
    <w:rsid w:val="00352219"/>
    <w:rsid w:val="003529C6"/>
    <w:rsid w:val="003536DB"/>
    <w:rsid w:val="00353D0A"/>
    <w:rsid w:val="003623B2"/>
    <w:rsid w:val="00363E75"/>
    <w:rsid w:val="00371B9A"/>
    <w:rsid w:val="003823F9"/>
    <w:rsid w:val="00384294"/>
    <w:rsid w:val="003942C8"/>
    <w:rsid w:val="003975CE"/>
    <w:rsid w:val="003A121A"/>
    <w:rsid w:val="003A2C13"/>
    <w:rsid w:val="003A6B20"/>
    <w:rsid w:val="003B44AF"/>
    <w:rsid w:val="003B4DC6"/>
    <w:rsid w:val="003B799D"/>
    <w:rsid w:val="003C0C3E"/>
    <w:rsid w:val="003C306E"/>
    <w:rsid w:val="003C3A45"/>
    <w:rsid w:val="003C3CBE"/>
    <w:rsid w:val="003C5D47"/>
    <w:rsid w:val="003F2B47"/>
    <w:rsid w:val="00400D1D"/>
    <w:rsid w:val="00404053"/>
    <w:rsid w:val="004040B6"/>
    <w:rsid w:val="00405122"/>
    <w:rsid w:val="00406F1E"/>
    <w:rsid w:val="004202AB"/>
    <w:rsid w:val="004230AD"/>
    <w:rsid w:val="004266C0"/>
    <w:rsid w:val="004310D4"/>
    <w:rsid w:val="00432EC3"/>
    <w:rsid w:val="00437669"/>
    <w:rsid w:val="0044085D"/>
    <w:rsid w:val="0044093E"/>
    <w:rsid w:val="00441A8A"/>
    <w:rsid w:val="0044226F"/>
    <w:rsid w:val="00443318"/>
    <w:rsid w:val="00443AE8"/>
    <w:rsid w:val="00444386"/>
    <w:rsid w:val="0044470E"/>
    <w:rsid w:val="0044604E"/>
    <w:rsid w:val="00454C9A"/>
    <w:rsid w:val="0045571F"/>
    <w:rsid w:val="00466366"/>
    <w:rsid w:val="004664FB"/>
    <w:rsid w:val="004756CB"/>
    <w:rsid w:val="0047662A"/>
    <w:rsid w:val="00480856"/>
    <w:rsid w:val="00480E9F"/>
    <w:rsid w:val="00483E38"/>
    <w:rsid w:val="00484744"/>
    <w:rsid w:val="004860C7"/>
    <w:rsid w:val="00486C5C"/>
    <w:rsid w:val="004926B7"/>
    <w:rsid w:val="0049320D"/>
    <w:rsid w:val="004A114E"/>
    <w:rsid w:val="004A75DE"/>
    <w:rsid w:val="004B2A45"/>
    <w:rsid w:val="004B60D3"/>
    <w:rsid w:val="004B6F52"/>
    <w:rsid w:val="004B76F9"/>
    <w:rsid w:val="004C00C8"/>
    <w:rsid w:val="004C3BAC"/>
    <w:rsid w:val="004C770C"/>
    <w:rsid w:val="004D2B81"/>
    <w:rsid w:val="004E49A4"/>
    <w:rsid w:val="004E6AF6"/>
    <w:rsid w:val="004F4C06"/>
    <w:rsid w:val="004F66D4"/>
    <w:rsid w:val="004F6CE8"/>
    <w:rsid w:val="004F79E5"/>
    <w:rsid w:val="00501330"/>
    <w:rsid w:val="00513366"/>
    <w:rsid w:val="005250F2"/>
    <w:rsid w:val="00532567"/>
    <w:rsid w:val="005345AA"/>
    <w:rsid w:val="0054023A"/>
    <w:rsid w:val="00542363"/>
    <w:rsid w:val="005426FE"/>
    <w:rsid w:val="00546304"/>
    <w:rsid w:val="00551F43"/>
    <w:rsid w:val="005531C7"/>
    <w:rsid w:val="00553D11"/>
    <w:rsid w:val="00555274"/>
    <w:rsid w:val="0055626C"/>
    <w:rsid w:val="00560183"/>
    <w:rsid w:val="00564C63"/>
    <w:rsid w:val="00582C8B"/>
    <w:rsid w:val="00591F94"/>
    <w:rsid w:val="005930AC"/>
    <w:rsid w:val="00595AF4"/>
    <w:rsid w:val="005B3917"/>
    <w:rsid w:val="005C3CEA"/>
    <w:rsid w:val="005C40B9"/>
    <w:rsid w:val="005D42C0"/>
    <w:rsid w:val="005D7271"/>
    <w:rsid w:val="005E1CC0"/>
    <w:rsid w:val="005F3FD8"/>
    <w:rsid w:val="00613755"/>
    <w:rsid w:val="00615796"/>
    <w:rsid w:val="00617819"/>
    <w:rsid w:val="006179C6"/>
    <w:rsid w:val="006209BB"/>
    <w:rsid w:val="006219D7"/>
    <w:rsid w:val="006243EC"/>
    <w:rsid w:val="006419F7"/>
    <w:rsid w:val="00651CCD"/>
    <w:rsid w:val="00652DDC"/>
    <w:rsid w:val="00652F02"/>
    <w:rsid w:val="006545CA"/>
    <w:rsid w:val="00654879"/>
    <w:rsid w:val="00654D3A"/>
    <w:rsid w:val="00655A11"/>
    <w:rsid w:val="0066021E"/>
    <w:rsid w:val="00665A76"/>
    <w:rsid w:val="0067076A"/>
    <w:rsid w:val="00670FEF"/>
    <w:rsid w:val="0067243C"/>
    <w:rsid w:val="00681668"/>
    <w:rsid w:val="00683E9C"/>
    <w:rsid w:val="006916BC"/>
    <w:rsid w:val="00693BF9"/>
    <w:rsid w:val="00695374"/>
    <w:rsid w:val="00697EFF"/>
    <w:rsid w:val="006A2002"/>
    <w:rsid w:val="006A34F5"/>
    <w:rsid w:val="006A3702"/>
    <w:rsid w:val="006A4A2B"/>
    <w:rsid w:val="006A5E31"/>
    <w:rsid w:val="006A6402"/>
    <w:rsid w:val="006B26A3"/>
    <w:rsid w:val="006B2D38"/>
    <w:rsid w:val="006B52A3"/>
    <w:rsid w:val="006C07B7"/>
    <w:rsid w:val="006C7EB6"/>
    <w:rsid w:val="006D4271"/>
    <w:rsid w:val="006E1DFF"/>
    <w:rsid w:val="006E5DCA"/>
    <w:rsid w:val="006F10AB"/>
    <w:rsid w:val="007029FD"/>
    <w:rsid w:val="007067BA"/>
    <w:rsid w:val="007132C6"/>
    <w:rsid w:val="0071584D"/>
    <w:rsid w:val="00723DA4"/>
    <w:rsid w:val="00724BAF"/>
    <w:rsid w:val="00726DD5"/>
    <w:rsid w:val="00727FD6"/>
    <w:rsid w:val="0074020E"/>
    <w:rsid w:val="00744055"/>
    <w:rsid w:val="007450ED"/>
    <w:rsid w:val="0076138E"/>
    <w:rsid w:val="007638A4"/>
    <w:rsid w:val="007659C3"/>
    <w:rsid w:val="00776022"/>
    <w:rsid w:val="00780268"/>
    <w:rsid w:val="00785850"/>
    <w:rsid w:val="007934DA"/>
    <w:rsid w:val="00795485"/>
    <w:rsid w:val="00796C4E"/>
    <w:rsid w:val="00797886"/>
    <w:rsid w:val="007A07D8"/>
    <w:rsid w:val="007A71ED"/>
    <w:rsid w:val="007B1F8D"/>
    <w:rsid w:val="007C0388"/>
    <w:rsid w:val="007C15EC"/>
    <w:rsid w:val="007C401B"/>
    <w:rsid w:val="007C6E7E"/>
    <w:rsid w:val="007D1118"/>
    <w:rsid w:val="007D1450"/>
    <w:rsid w:val="007D2DD5"/>
    <w:rsid w:val="007D7643"/>
    <w:rsid w:val="007E036E"/>
    <w:rsid w:val="007E1C4B"/>
    <w:rsid w:val="007E3F4F"/>
    <w:rsid w:val="007E498D"/>
    <w:rsid w:val="007E79D1"/>
    <w:rsid w:val="007F104B"/>
    <w:rsid w:val="007F2F93"/>
    <w:rsid w:val="007F47DA"/>
    <w:rsid w:val="007F6176"/>
    <w:rsid w:val="00802C29"/>
    <w:rsid w:val="00803630"/>
    <w:rsid w:val="00803D45"/>
    <w:rsid w:val="00811EDB"/>
    <w:rsid w:val="00816068"/>
    <w:rsid w:val="00822010"/>
    <w:rsid w:val="00830FB3"/>
    <w:rsid w:val="008353F7"/>
    <w:rsid w:val="00835A6C"/>
    <w:rsid w:val="00846496"/>
    <w:rsid w:val="008579F4"/>
    <w:rsid w:val="00860157"/>
    <w:rsid w:val="0086388D"/>
    <w:rsid w:val="00863B50"/>
    <w:rsid w:val="00864DE2"/>
    <w:rsid w:val="00865910"/>
    <w:rsid w:val="008804A8"/>
    <w:rsid w:val="00885F35"/>
    <w:rsid w:val="008A1DA6"/>
    <w:rsid w:val="008A2DAC"/>
    <w:rsid w:val="008A39EF"/>
    <w:rsid w:val="008A63DF"/>
    <w:rsid w:val="008B6802"/>
    <w:rsid w:val="008B71BD"/>
    <w:rsid w:val="008C4EC6"/>
    <w:rsid w:val="008E4463"/>
    <w:rsid w:val="008E51FC"/>
    <w:rsid w:val="008F083A"/>
    <w:rsid w:val="00904C47"/>
    <w:rsid w:val="00907B53"/>
    <w:rsid w:val="00907E0E"/>
    <w:rsid w:val="00907F85"/>
    <w:rsid w:val="00913323"/>
    <w:rsid w:val="00920669"/>
    <w:rsid w:val="00920C3D"/>
    <w:rsid w:val="00923CFD"/>
    <w:rsid w:val="0092479B"/>
    <w:rsid w:val="009259D3"/>
    <w:rsid w:val="00930256"/>
    <w:rsid w:val="009341A0"/>
    <w:rsid w:val="009405B4"/>
    <w:rsid w:val="00945CAE"/>
    <w:rsid w:val="0095057B"/>
    <w:rsid w:val="00954AB8"/>
    <w:rsid w:val="009579FD"/>
    <w:rsid w:val="00970772"/>
    <w:rsid w:val="00971DED"/>
    <w:rsid w:val="0097385B"/>
    <w:rsid w:val="00984B6A"/>
    <w:rsid w:val="009900CE"/>
    <w:rsid w:val="00990E16"/>
    <w:rsid w:val="00991E0E"/>
    <w:rsid w:val="009944E6"/>
    <w:rsid w:val="00995AED"/>
    <w:rsid w:val="00995E2C"/>
    <w:rsid w:val="0099653C"/>
    <w:rsid w:val="0099688D"/>
    <w:rsid w:val="009C406B"/>
    <w:rsid w:val="009C7F04"/>
    <w:rsid w:val="009D2466"/>
    <w:rsid w:val="009D326A"/>
    <w:rsid w:val="009E2018"/>
    <w:rsid w:val="009E2A14"/>
    <w:rsid w:val="00A010C4"/>
    <w:rsid w:val="00A01BC0"/>
    <w:rsid w:val="00A023EB"/>
    <w:rsid w:val="00A04D22"/>
    <w:rsid w:val="00A05076"/>
    <w:rsid w:val="00A07617"/>
    <w:rsid w:val="00A117D6"/>
    <w:rsid w:val="00A13219"/>
    <w:rsid w:val="00A16ABA"/>
    <w:rsid w:val="00A23311"/>
    <w:rsid w:val="00A26AD3"/>
    <w:rsid w:val="00A278B7"/>
    <w:rsid w:val="00A27D2C"/>
    <w:rsid w:val="00A41CA9"/>
    <w:rsid w:val="00A55030"/>
    <w:rsid w:val="00A57236"/>
    <w:rsid w:val="00A72738"/>
    <w:rsid w:val="00A801B7"/>
    <w:rsid w:val="00A81F44"/>
    <w:rsid w:val="00A85F39"/>
    <w:rsid w:val="00A9506F"/>
    <w:rsid w:val="00A96060"/>
    <w:rsid w:val="00AA0DC6"/>
    <w:rsid w:val="00AB321C"/>
    <w:rsid w:val="00AB61DB"/>
    <w:rsid w:val="00AB7339"/>
    <w:rsid w:val="00AC100B"/>
    <w:rsid w:val="00AC33AF"/>
    <w:rsid w:val="00AC75D5"/>
    <w:rsid w:val="00AC7D32"/>
    <w:rsid w:val="00AD1005"/>
    <w:rsid w:val="00AE08B5"/>
    <w:rsid w:val="00AE41EF"/>
    <w:rsid w:val="00AF081A"/>
    <w:rsid w:val="00AF6BFD"/>
    <w:rsid w:val="00B005F4"/>
    <w:rsid w:val="00B00A49"/>
    <w:rsid w:val="00B00E06"/>
    <w:rsid w:val="00B15927"/>
    <w:rsid w:val="00B176EE"/>
    <w:rsid w:val="00B2016B"/>
    <w:rsid w:val="00B20D53"/>
    <w:rsid w:val="00B212F0"/>
    <w:rsid w:val="00B21AA7"/>
    <w:rsid w:val="00B2263E"/>
    <w:rsid w:val="00B25EF2"/>
    <w:rsid w:val="00B26CBB"/>
    <w:rsid w:val="00B336DD"/>
    <w:rsid w:val="00B363A0"/>
    <w:rsid w:val="00B41E23"/>
    <w:rsid w:val="00B53E31"/>
    <w:rsid w:val="00B55245"/>
    <w:rsid w:val="00B71C69"/>
    <w:rsid w:val="00B72F2D"/>
    <w:rsid w:val="00B80A0C"/>
    <w:rsid w:val="00B80F2E"/>
    <w:rsid w:val="00B83BD6"/>
    <w:rsid w:val="00B858D6"/>
    <w:rsid w:val="00B86F2E"/>
    <w:rsid w:val="00B872EC"/>
    <w:rsid w:val="00BA719B"/>
    <w:rsid w:val="00BB38DF"/>
    <w:rsid w:val="00BC14CF"/>
    <w:rsid w:val="00BC55FD"/>
    <w:rsid w:val="00BD102B"/>
    <w:rsid w:val="00BF2BD7"/>
    <w:rsid w:val="00BF68BD"/>
    <w:rsid w:val="00BF6A1C"/>
    <w:rsid w:val="00C00D40"/>
    <w:rsid w:val="00C10E2E"/>
    <w:rsid w:val="00C17A34"/>
    <w:rsid w:val="00C301D1"/>
    <w:rsid w:val="00C33E2A"/>
    <w:rsid w:val="00C363C8"/>
    <w:rsid w:val="00C364B3"/>
    <w:rsid w:val="00C371D2"/>
    <w:rsid w:val="00C4358A"/>
    <w:rsid w:val="00C548E9"/>
    <w:rsid w:val="00C71088"/>
    <w:rsid w:val="00C922D1"/>
    <w:rsid w:val="00C94821"/>
    <w:rsid w:val="00C95004"/>
    <w:rsid w:val="00C967F9"/>
    <w:rsid w:val="00CA3C92"/>
    <w:rsid w:val="00CB63A2"/>
    <w:rsid w:val="00CB7760"/>
    <w:rsid w:val="00CC0F00"/>
    <w:rsid w:val="00CD1C38"/>
    <w:rsid w:val="00CD2DD5"/>
    <w:rsid w:val="00CD5B7C"/>
    <w:rsid w:val="00CE2844"/>
    <w:rsid w:val="00CE5B08"/>
    <w:rsid w:val="00CF0FFF"/>
    <w:rsid w:val="00CF18BB"/>
    <w:rsid w:val="00CF1B96"/>
    <w:rsid w:val="00CF339E"/>
    <w:rsid w:val="00CF588A"/>
    <w:rsid w:val="00CF5D14"/>
    <w:rsid w:val="00CF629A"/>
    <w:rsid w:val="00CF6647"/>
    <w:rsid w:val="00D00078"/>
    <w:rsid w:val="00D01117"/>
    <w:rsid w:val="00D029F3"/>
    <w:rsid w:val="00D14B3E"/>
    <w:rsid w:val="00D16B66"/>
    <w:rsid w:val="00D21594"/>
    <w:rsid w:val="00D22DF9"/>
    <w:rsid w:val="00D22F7B"/>
    <w:rsid w:val="00D27E82"/>
    <w:rsid w:val="00D30784"/>
    <w:rsid w:val="00D3160C"/>
    <w:rsid w:val="00D327E6"/>
    <w:rsid w:val="00D4045D"/>
    <w:rsid w:val="00D42575"/>
    <w:rsid w:val="00D4358C"/>
    <w:rsid w:val="00D439AC"/>
    <w:rsid w:val="00D46259"/>
    <w:rsid w:val="00D46B87"/>
    <w:rsid w:val="00D5038F"/>
    <w:rsid w:val="00D723C3"/>
    <w:rsid w:val="00D727D9"/>
    <w:rsid w:val="00D745A4"/>
    <w:rsid w:val="00D801ED"/>
    <w:rsid w:val="00D80F9F"/>
    <w:rsid w:val="00D81267"/>
    <w:rsid w:val="00D83341"/>
    <w:rsid w:val="00D833B5"/>
    <w:rsid w:val="00D84AB6"/>
    <w:rsid w:val="00D951CD"/>
    <w:rsid w:val="00D9762F"/>
    <w:rsid w:val="00DA43DD"/>
    <w:rsid w:val="00DA5077"/>
    <w:rsid w:val="00DA6B50"/>
    <w:rsid w:val="00DB25A1"/>
    <w:rsid w:val="00DB2D92"/>
    <w:rsid w:val="00DB3C97"/>
    <w:rsid w:val="00DB63DB"/>
    <w:rsid w:val="00DC5EDE"/>
    <w:rsid w:val="00DC6C0C"/>
    <w:rsid w:val="00DC7799"/>
    <w:rsid w:val="00DD13AE"/>
    <w:rsid w:val="00DD1906"/>
    <w:rsid w:val="00DE0BBD"/>
    <w:rsid w:val="00DE135A"/>
    <w:rsid w:val="00DF090B"/>
    <w:rsid w:val="00DF1FF2"/>
    <w:rsid w:val="00DF6B31"/>
    <w:rsid w:val="00E07232"/>
    <w:rsid w:val="00E102C0"/>
    <w:rsid w:val="00E15D12"/>
    <w:rsid w:val="00E16B19"/>
    <w:rsid w:val="00E21BF3"/>
    <w:rsid w:val="00E2433D"/>
    <w:rsid w:val="00E31B8B"/>
    <w:rsid w:val="00E44ACD"/>
    <w:rsid w:val="00E47ACA"/>
    <w:rsid w:val="00E5053A"/>
    <w:rsid w:val="00E51701"/>
    <w:rsid w:val="00E54814"/>
    <w:rsid w:val="00E60B09"/>
    <w:rsid w:val="00E629AA"/>
    <w:rsid w:val="00E70169"/>
    <w:rsid w:val="00E77E9A"/>
    <w:rsid w:val="00E872A1"/>
    <w:rsid w:val="00E91174"/>
    <w:rsid w:val="00E94FE6"/>
    <w:rsid w:val="00EB5D61"/>
    <w:rsid w:val="00EC06AE"/>
    <w:rsid w:val="00EC421A"/>
    <w:rsid w:val="00EC4B0B"/>
    <w:rsid w:val="00EC68E5"/>
    <w:rsid w:val="00ED6CBA"/>
    <w:rsid w:val="00ED7BE5"/>
    <w:rsid w:val="00EE167A"/>
    <w:rsid w:val="00EE483E"/>
    <w:rsid w:val="00EE62D4"/>
    <w:rsid w:val="00EF0F7E"/>
    <w:rsid w:val="00EF4EAD"/>
    <w:rsid w:val="00F02E89"/>
    <w:rsid w:val="00F10A1B"/>
    <w:rsid w:val="00F12584"/>
    <w:rsid w:val="00F132BE"/>
    <w:rsid w:val="00F25DE4"/>
    <w:rsid w:val="00F31D73"/>
    <w:rsid w:val="00F36942"/>
    <w:rsid w:val="00F430FD"/>
    <w:rsid w:val="00F47801"/>
    <w:rsid w:val="00F51D16"/>
    <w:rsid w:val="00F54CF7"/>
    <w:rsid w:val="00F54F06"/>
    <w:rsid w:val="00F6260C"/>
    <w:rsid w:val="00F634D0"/>
    <w:rsid w:val="00F66F75"/>
    <w:rsid w:val="00F70661"/>
    <w:rsid w:val="00F73667"/>
    <w:rsid w:val="00F738FA"/>
    <w:rsid w:val="00F809E2"/>
    <w:rsid w:val="00F85C30"/>
    <w:rsid w:val="00F86F88"/>
    <w:rsid w:val="00F90306"/>
    <w:rsid w:val="00F90A78"/>
    <w:rsid w:val="00F91D07"/>
    <w:rsid w:val="00F9392F"/>
    <w:rsid w:val="00F97EDB"/>
    <w:rsid w:val="00FA4153"/>
    <w:rsid w:val="00FB0B66"/>
    <w:rsid w:val="00FB1533"/>
    <w:rsid w:val="00FB5F0B"/>
    <w:rsid w:val="00FB687B"/>
    <w:rsid w:val="00FB6B46"/>
    <w:rsid w:val="00FC31F7"/>
    <w:rsid w:val="00FC3836"/>
    <w:rsid w:val="00FC4AE9"/>
    <w:rsid w:val="00FD0209"/>
    <w:rsid w:val="00FD204A"/>
    <w:rsid w:val="00FD7ED4"/>
    <w:rsid w:val="00FE029E"/>
    <w:rsid w:val="00FE2AA4"/>
    <w:rsid w:val="00FE2B30"/>
    <w:rsid w:val="00FE72F1"/>
    <w:rsid w:val="00FF5083"/>
    <w:rsid w:val="00FF64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C47D"/>
  <w15:chartTrackingRefBased/>
  <w15:docId w15:val="{36CC7264-6187-493B-825B-1C898CEC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23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C6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E3F4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3F4F"/>
    <w:rPr>
      <w:rFonts w:ascii="Segoe UI" w:hAnsi="Segoe UI" w:cs="Segoe UI"/>
      <w:sz w:val="18"/>
      <w:szCs w:val="18"/>
    </w:rPr>
  </w:style>
  <w:style w:type="paragraph" w:styleId="Kopfzeile">
    <w:name w:val="header"/>
    <w:basedOn w:val="Standard"/>
    <w:link w:val="KopfzeileZchn"/>
    <w:uiPriority w:val="99"/>
    <w:unhideWhenUsed/>
    <w:rsid w:val="00F738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38FA"/>
  </w:style>
  <w:style w:type="paragraph" w:styleId="Fuzeile">
    <w:name w:val="footer"/>
    <w:basedOn w:val="Standard"/>
    <w:link w:val="FuzeileZchn"/>
    <w:uiPriority w:val="99"/>
    <w:unhideWhenUsed/>
    <w:rsid w:val="00F738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38FA"/>
  </w:style>
  <w:style w:type="paragraph" w:styleId="Listenabsatz">
    <w:name w:val="List Paragraph"/>
    <w:basedOn w:val="Standard"/>
    <w:uiPriority w:val="34"/>
    <w:qFormat/>
    <w:rsid w:val="00513366"/>
    <w:pPr>
      <w:ind w:left="720"/>
      <w:contextualSpacing/>
    </w:pPr>
  </w:style>
  <w:style w:type="character" w:styleId="Fett">
    <w:name w:val="Strong"/>
    <w:basedOn w:val="Absatz-Standardschriftart"/>
    <w:uiPriority w:val="22"/>
    <w:qFormat/>
    <w:rsid w:val="0000171F"/>
    <w:rPr>
      <w:b/>
      <w:bCs/>
    </w:rPr>
  </w:style>
  <w:style w:type="character" w:styleId="Hyperlink">
    <w:name w:val="Hyperlink"/>
    <w:basedOn w:val="Absatz-Standardschriftart"/>
    <w:uiPriority w:val="99"/>
    <w:unhideWhenUsed/>
    <w:rsid w:val="0000171F"/>
    <w:rPr>
      <w:color w:val="0000FF"/>
      <w:u w:val="single"/>
    </w:rPr>
  </w:style>
  <w:style w:type="character" w:styleId="Kommentarzeichen">
    <w:name w:val="annotation reference"/>
    <w:basedOn w:val="Absatz-Standardschriftart"/>
    <w:uiPriority w:val="99"/>
    <w:semiHidden/>
    <w:unhideWhenUsed/>
    <w:rsid w:val="00D327E6"/>
    <w:rPr>
      <w:sz w:val="16"/>
      <w:szCs w:val="16"/>
    </w:rPr>
  </w:style>
  <w:style w:type="paragraph" w:styleId="Kommentartext">
    <w:name w:val="annotation text"/>
    <w:basedOn w:val="Standard"/>
    <w:link w:val="KommentartextZchn"/>
    <w:uiPriority w:val="99"/>
    <w:semiHidden/>
    <w:unhideWhenUsed/>
    <w:rsid w:val="00D327E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327E6"/>
    <w:rPr>
      <w:sz w:val="20"/>
      <w:szCs w:val="20"/>
    </w:rPr>
  </w:style>
  <w:style w:type="paragraph" w:styleId="Kommentarthema">
    <w:name w:val="annotation subject"/>
    <w:basedOn w:val="Kommentartext"/>
    <w:next w:val="Kommentartext"/>
    <w:link w:val="KommentarthemaZchn"/>
    <w:uiPriority w:val="99"/>
    <w:semiHidden/>
    <w:unhideWhenUsed/>
    <w:rsid w:val="00D327E6"/>
    <w:rPr>
      <w:b/>
      <w:bCs/>
    </w:rPr>
  </w:style>
  <w:style w:type="character" w:customStyle="1" w:styleId="KommentarthemaZchn">
    <w:name w:val="Kommentarthema Zchn"/>
    <w:basedOn w:val="KommentartextZchn"/>
    <w:link w:val="Kommentarthema"/>
    <w:uiPriority w:val="99"/>
    <w:semiHidden/>
    <w:rsid w:val="00D327E6"/>
    <w:rPr>
      <w:b/>
      <w:bCs/>
      <w:sz w:val="20"/>
      <w:szCs w:val="20"/>
    </w:rPr>
  </w:style>
  <w:style w:type="paragraph" w:customStyle="1" w:styleId="Default">
    <w:name w:val="Default"/>
    <w:rsid w:val="00B83BD6"/>
    <w:pPr>
      <w:autoSpaceDE w:val="0"/>
      <w:autoSpaceDN w:val="0"/>
      <w:adjustRightInd w:val="0"/>
      <w:spacing w:after="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920669"/>
    <w:rPr>
      <w:color w:val="954F72" w:themeColor="followedHyperlink"/>
      <w:u w:val="single"/>
    </w:rPr>
  </w:style>
  <w:style w:type="character" w:styleId="NichtaufgelsteErwhnung">
    <w:name w:val="Unresolved Mention"/>
    <w:basedOn w:val="Absatz-Standardschriftart"/>
    <w:uiPriority w:val="99"/>
    <w:semiHidden/>
    <w:unhideWhenUsed/>
    <w:rsid w:val="00DC6C0C"/>
    <w:rPr>
      <w:color w:val="605E5C"/>
      <w:shd w:val="clear" w:color="auto" w:fill="E1DFDD"/>
    </w:rPr>
  </w:style>
  <w:style w:type="paragraph" w:styleId="StandardWeb">
    <w:name w:val="Normal (Web)"/>
    <w:basedOn w:val="Standard"/>
    <w:uiPriority w:val="99"/>
    <w:unhideWhenUsed/>
    <w:rsid w:val="0015694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rucksache">
    <w:name w:val="Drucksache"/>
    <w:link w:val="DrucksacheZchn"/>
    <w:rsid w:val="002D34C6"/>
    <w:pPr>
      <w:widowControl w:val="0"/>
      <w:spacing w:before="5" w:after="0" w:line="240" w:lineRule="auto"/>
      <w:ind w:left="2767"/>
    </w:pPr>
    <w:rPr>
      <w:rFonts w:ascii="Times" w:eastAsia="Times New Roman" w:hAnsi="Times" w:cs="Times New Roman"/>
      <w:noProof/>
      <w:snapToGrid w:val="0"/>
      <w:sz w:val="20"/>
      <w:szCs w:val="20"/>
      <w:lang w:eastAsia="de-DE"/>
    </w:rPr>
  </w:style>
  <w:style w:type="character" w:customStyle="1" w:styleId="DrucksacheZchn">
    <w:name w:val="Drucksache Zchn"/>
    <w:link w:val="Drucksache"/>
    <w:rsid w:val="002D34C6"/>
    <w:rPr>
      <w:rFonts w:ascii="Times" w:eastAsia="Times New Roman" w:hAnsi="Times" w:cs="Times New Roman"/>
      <w:noProof/>
      <w:snapToGrid w:val="0"/>
      <w:sz w:val="20"/>
      <w:szCs w:val="20"/>
      <w:lang w:eastAsia="de-DE"/>
    </w:rPr>
  </w:style>
  <w:style w:type="character" w:customStyle="1" w:styleId="strongemphasis">
    <w:name w:val="strongemphasis"/>
    <w:basedOn w:val="Absatz-Standardschriftart"/>
    <w:rsid w:val="00B80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773">
      <w:bodyDiv w:val="1"/>
      <w:marLeft w:val="0"/>
      <w:marRight w:val="0"/>
      <w:marTop w:val="0"/>
      <w:marBottom w:val="0"/>
      <w:divBdr>
        <w:top w:val="none" w:sz="0" w:space="0" w:color="auto"/>
        <w:left w:val="none" w:sz="0" w:space="0" w:color="auto"/>
        <w:bottom w:val="none" w:sz="0" w:space="0" w:color="auto"/>
        <w:right w:val="none" w:sz="0" w:space="0" w:color="auto"/>
      </w:divBdr>
    </w:div>
    <w:div w:id="48042650">
      <w:bodyDiv w:val="1"/>
      <w:marLeft w:val="0"/>
      <w:marRight w:val="0"/>
      <w:marTop w:val="0"/>
      <w:marBottom w:val="0"/>
      <w:divBdr>
        <w:top w:val="none" w:sz="0" w:space="0" w:color="auto"/>
        <w:left w:val="none" w:sz="0" w:space="0" w:color="auto"/>
        <w:bottom w:val="none" w:sz="0" w:space="0" w:color="auto"/>
        <w:right w:val="none" w:sz="0" w:space="0" w:color="auto"/>
      </w:divBdr>
    </w:div>
    <w:div w:id="116030070">
      <w:bodyDiv w:val="1"/>
      <w:marLeft w:val="0"/>
      <w:marRight w:val="0"/>
      <w:marTop w:val="0"/>
      <w:marBottom w:val="0"/>
      <w:divBdr>
        <w:top w:val="none" w:sz="0" w:space="0" w:color="auto"/>
        <w:left w:val="none" w:sz="0" w:space="0" w:color="auto"/>
        <w:bottom w:val="none" w:sz="0" w:space="0" w:color="auto"/>
        <w:right w:val="none" w:sz="0" w:space="0" w:color="auto"/>
      </w:divBdr>
    </w:div>
    <w:div w:id="120657436">
      <w:bodyDiv w:val="1"/>
      <w:marLeft w:val="0"/>
      <w:marRight w:val="0"/>
      <w:marTop w:val="0"/>
      <w:marBottom w:val="0"/>
      <w:divBdr>
        <w:top w:val="none" w:sz="0" w:space="0" w:color="auto"/>
        <w:left w:val="none" w:sz="0" w:space="0" w:color="auto"/>
        <w:bottom w:val="none" w:sz="0" w:space="0" w:color="auto"/>
        <w:right w:val="none" w:sz="0" w:space="0" w:color="auto"/>
      </w:divBdr>
    </w:div>
    <w:div w:id="225074731">
      <w:bodyDiv w:val="1"/>
      <w:marLeft w:val="0"/>
      <w:marRight w:val="0"/>
      <w:marTop w:val="0"/>
      <w:marBottom w:val="0"/>
      <w:divBdr>
        <w:top w:val="none" w:sz="0" w:space="0" w:color="auto"/>
        <w:left w:val="none" w:sz="0" w:space="0" w:color="auto"/>
        <w:bottom w:val="none" w:sz="0" w:space="0" w:color="auto"/>
        <w:right w:val="none" w:sz="0" w:space="0" w:color="auto"/>
      </w:divBdr>
    </w:div>
    <w:div w:id="234126158">
      <w:bodyDiv w:val="1"/>
      <w:marLeft w:val="0"/>
      <w:marRight w:val="0"/>
      <w:marTop w:val="0"/>
      <w:marBottom w:val="0"/>
      <w:divBdr>
        <w:top w:val="none" w:sz="0" w:space="0" w:color="auto"/>
        <w:left w:val="none" w:sz="0" w:space="0" w:color="auto"/>
        <w:bottom w:val="none" w:sz="0" w:space="0" w:color="auto"/>
        <w:right w:val="none" w:sz="0" w:space="0" w:color="auto"/>
      </w:divBdr>
    </w:div>
    <w:div w:id="296494803">
      <w:bodyDiv w:val="1"/>
      <w:marLeft w:val="0"/>
      <w:marRight w:val="0"/>
      <w:marTop w:val="0"/>
      <w:marBottom w:val="0"/>
      <w:divBdr>
        <w:top w:val="none" w:sz="0" w:space="0" w:color="auto"/>
        <w:left w:val="none" w:sz="0" w:space="0" w:color="auto"/>
        <w:bottom w:val="none" w:sz="0" w:space="0" w:color="auto"/>
        <w:right w:val="none" w:sz="0" w:space="0" w:color="auto"/>
      </w:divBdr>
    </w:div>
    <w:div w:id="342123378">
      <w:bodyDiv w:val="1"/>
      <w:marLeft w:val="0"/>
      <w:marRight w:val="0"/>
      <w:marTop w:val="0"/>
      <w:marBottom w:val="0"/>
      <w:divBdr>
        <w:top w:val="none" w:sz="0" w:space="0" w:color="auto"/>
        <w:left w:val="none" w:sz="0" w:space="0" w:color="auto"/>
        <w:bottom w:val="none" w:sz="0" w:space="0" w:color="auto"/>
        <w:right w:val="none" w:sz="0" w:space="0" w:color="auto"/>
      </w:divBdr>
    </w:div>
    <w:div w:id="354118273">
      <w:bodyDiv w:val="1"/>
      <w:marLeft w:val="0"/>
      <w:marRight w:val="0"/>
      <w:marTop w:val="0"/>
      <w:marBottom w:val="0"/>
      <w:divBdr>
        <w:top w:val="none" w:sz="0" w:space="0" w:color="auto"/>
        <w:left w:val="none" w:sz="0" w:space="0" w:color="auto"/>
        <w:bottom w:val="none" w:sz="0" w:space="0" w:color="auto"/>
        <w:right w:val="none" w:sz="0" w:space="0" w:color="auto"/>
      </w:divBdr>
    </w:div>
    <w:div w:id="409012523">
      <w:bodyDiv w:val="1"/>
      <w:marLeft w:val="0"/>
      <w:marRight w:val="0"/>
      <w:marTop w:val="0"/>
      <w:marBottom w:val="0"/>
      <w:divBdr>
        <w:top w:val="none" w:sz="0" w:space="0" w:color="auto"/>
        <w:left w:val="none" w:sz="0" w:space="0" w:color="auto"/>
        <w:bottom w:val="none" w:sz="0" w:space="0" w:color="auto"/>
        <w:right w:val="none" w:sz="0" w:space="0" w:color="auto"/>
      </w:divBdr>
    </w:div>
    <w:div w:id="432014522">
      <w:bodyDiv w:val="1"/>
      <w:marLeft w:val="0"/>
      <w:marRight w:val="0"/>
      <w:marTop w:val="0"/>
      <w:marBottom w:val="0"/>
      <w:divBdr>
        <w:top w:val="none" w:sz="0" w:space="0" w:color="auto"/>
        <w:left w:val="none" w:sz="0" w:space="0" w:color="auto"/>
        <w:bottom w:val="none" w:sz="0" w:space="0" w:color="auto"/>
        <w:right w:val="none" w:sz="0" w:space="0" w:color="auto"/>
      </w:divBdr>
    </w:div>
    <w:div w:id="803543202">
      <w:bodyDiv w:val="1"/>
      <w:marLeft w:val="0"/>
      <w:marRight w:val="0"/>
      <w:marTop w:val="0"/>
      <w:marBottom w:val="0"/>
      <w:divBdr>
        <w:top w:val="none" w:sz="0" w:space="0" w:color="auto"/>
        <w:left w:val="none" w:sz="0" w:space="0" w:color="auto"/>
        <w:bottom w:val="none" w:sz="0" w:space="0" w:color="auto"/>
        <w:right w:val="none" w:sz="0" w:space="0" w:color="auto"/>
      </w:divBdr>
    </w:div>
    <w:div w:id="944532049">
      <w:bodyDiv w:val="1"/>
      <w:marLeft w:val="0"/>
      <w:marRight w:val="0"/>
      <w:marTop w:val="0"/>
      <w:marBottom w:val="0"/>
      <w:divBdr>
        <w:top w:val="none" w:sz="0" w:space="0" w:color="auto"/>
        <w:left w:val="none" w:sz="0" w:space="0" w:color="auto"/>
        <w:bottom w:val="none" w:sz="0" w:space="0" w:color="auto"/>
        <w:right w:val="none" w:sz="0" w:space="0" w:color="auto"/>
      </w:divBdr>
    </w:div>
    <w:div w:id="971138157">
      <w:bodyDiv w:val="1"/>
      <w:marLeft w:val="0"/>
      <w:marRight w:val="0"/>
      <w:marTop w:val="0"/>
      <w:marBottom w:val="0"/>
      <w:divBdr>
        <w:top w:val="none" w:sz="0" w:space="0" w:color="auto"/>
        <w:left w:val="none" w:sz="0" w:space="0" w:color="auto"/>
        <w:bottom w:val="none" w:sz="0" w:space="0" w:color="auto"/>
        <w:right w:val="none" w:sz="0" w:space="0" w:color="auto"/>
      </w:divBdr>
    </w:div>
    <w:div w:id="1028946686">
      <w:bodyDiv w:val="1"/>
      <w:marLeft w:val="0"/>
      <w:marRight w:val="0"/>
      <w:marTop w:val="0"/>
      <w:marBottom w:val="0"/>
      <w:divBdr>
        <w:top w:val="none" w:sz="0" w:space="0" w:color="auto"/>
        <w:left w:val="none" w:sz="0" w:space="0" w:color="auto"/>
        <w:bottom w:val="none" w:sz="0" w:space="0" w:color="auto"/>
        <w:right w:val="none" w:sz="0" w:space="0" w:color="auto"/>
      </w:divBdr>
    </w:div>
    <w:div w:id="1150515040">
      <w:bodyDiv w:val="1"/>
      <w:marLeft w:val="0"/>
      <w:marRight w:val="0"/>
      <w:marTop w:val="0"/>
      <w:marBottom w:val="0"/>
      <w:divBdr>
        <w:top w:val="none" w:sz="0" w:space="0" w:color="auto"/>
        <w:left w:val="none" w:sz="0" w:space="0" w:color="auto"/>
        <w:bottom w:val="none" w:sz="0" w:space="0" w:color="auto"/>
        <w:right w:val="none" w:sz="0" w:space="0" w:color="auto"/>
      </w:divBdr>
    </w:div>
    <w:div w:id="1233000495">
      <w:bodyDiv w:val="1"/>
      <w:marLeft w:val="0"/>
      <w:marRight w:val="0"/>
      <w:marTop w:val="0"/>
      <w:marBottom w:val="0"/>
      <w:divBdr>
        <w:top w:val="none" w:sz="0" w:space="0" w:color="auto"/>
        <w:left w:val="none" w:sz="0" w:space="0" w:color="auto"/>
        <w:bottom w:val="none" w:sz="0" w:space="0" w:color="auto"/>
        <w:right w:val="none" w:sz="0" w:space="0" w:color="auto"/>
      </w:divBdr>
    </w:div>
    <w:div w:id="1237284227">
      <w:bodyDiv w:val="1"/>
      <w:marLeft w:val="0"/>
      <w:marRight w:val="0"/>
      <w:marTop w:val="0"/>
      <w:marBottom w:val="0"/>
      <w:divBdr>
        <w:top w:val="none" w:sz="0" w:space="0" w:color="auto"/>
        <w:left w:val="none" w:sz="0" w:space="0" w:color="auto"/>
        <w:bottom w:val="none" w:sz="0" w:space="0" w:color="auto"/>
        <w:right w:val="none" w:sz="0" w:space="0" w:color="auto"/>
      </w:divBdr>
    </w:div>
    <w:div w:id="1567185439">
      <w:bodyDiv w:val="1"/>
      <w:marLeft w:val="0"/>
      <w:marRight w:val="0"/>
      <w:marTop w:val="0"/>
      <w:marBottom w:val="0"/>
      <w:divBdr>
        <w:top w:val="none" w:sz="0" w:space="0" w:color="auto"/>
        <w:left w:val="none" w:sz="0" w:space="0" w:color="auto"/>
        <w:bottom w:val="none" w:sz="0" w:space="0" w:color="auto"/>
        <w:right w:val="none" w:sz="0" w:space="0" w:color="auto"/>
      </w:divBdr>
    </w:div>
    <w:div w:id="1578981975">
      <w:bodyDiv w:val="1"/>
      <w:marLeft w:val="0"/>
      <w:marRight w:val="0"/>
      <w:marTop w:val="0"/>
      <w:marBottom w:val="0"/>
      <w:divBdr>
        <w:top w:val="none" w:sz="0" w:space="0" w:color="auto"/>
        <w:left w:val="none" w:sz="0" w:space="0" w:color="auto"/>
        <w:bottom w:val="none" w:sz="0" w:space="0" w:color="auto"/>
        <w:right w:val="none" w:sz="0" w:space="0" w:color="auto"/>
      </w:divBdr>
    </w:div>
    <w:div w:id="1629625623">
      <w:bodyDiv w:val="1"/>
      <w:marLeft w:val="0"/>
      <w:marRight w:val="0"/>
      <w:marTop w:val="0"/>
      <w:marBottom w:val="0"/>
      <w:divBdr>
        <w:top w:val="none" w:sz="0" w:space="0" w:color="auto"/>
        <w:left w:val="none" w:sz="0" w:space="0" w:color="auto"/>
        <w:bottom w:val="none" w:sz="0" w:space="0" w:color="auto"/>
        <w:right w:val="none" w:sz="0" w:space="0" w:color="auto"/>
      </w:divBdr>
    </w:div>
    <w:div w:id="1817603255">
      <w:bodyDiv w:val="1"/>
      <w:marLeft w:val="0"/>
      <w:marRight w:val="0"/>
      <w:marTop w:val="0"/>
      <w:marBottom w:val="0"/>
      <w:divBdr>
        <w:top w:val="none" w:sz="0" w:space="0" w:color="auto"/>
        <w:left w:val="none" w:sz="0" w:space="0" w:color="auto"/>
        <w:bottom w:val="none" w:sz="0" w:space="0" w:color="auto"/>
        <w:right w:val="none" w:sz="0" w:space="0" w:color="auto"/>
      </w:divBdr>
    </w:div>
    <w:div w:id="1831482442">
      <w:bodyDiv w:val="1"/>
      <w:marLeft w:val="0"/>
      <w:marRight w:val="0"/>
      <w:marTop w:val="0"/>
      <w:marBottom w:val="0"/>
      <w:divBdr>
        <w:top w:val="none" w:sz="0" w:space="0" w:color="auto"/>
        <w:left w:val="none" w:sz="0" w:space="0" w:color="auto"/>
        <w:bottom w:val="none" w:sz="0" w:space="0" w:color="auto"/>
        <w:right w:val="none" w:sz="0" w:space="0" w:color="auto"/>
      </w:divBdr>
    </w:div>
    <w:div w:id="1895695070">
      <w:bodyDiv w:val="1"/>
      <w:marLeft w:val="0"/>
      <w:marRight w:val="0"/>
      <w:marTop w:val="0"/>
      <w:marBottom w:val="0"/>
      <w:divBdr>
        <w:top w:val="none" w:sz="0" w:space="0" w:color="auto"/>
        <w:left w:val="none" w:sz="0" w:space="0" w:color="auto"/>
        <w:bottom w:val="none" w:sz="0" w:space="0" w:color="auto"/>
        <w:right w:val="none" w:sz="0" w:space="0" w:color="auto"/>
      </w:divBdr>
    </w:div>
    <w:div w:id="1953972753">
      <w:bodyDiv w:val="1"/>
      <w:marLeft w:val="0"/>
      <w:marRight w:val="0"/>
      <w:marTop w:val="0"/>
      <w:marBottom w:val="0"/>
      <w:divBdr>
        <w:top w:val="none" w:sz="0" w:space="0" w:color="auto"/>
        <w:left w:val="none" w:sz="0" w:space="0" w:color="auto"/>
        <w:bottom w:val="none" w:sz="0" w:space="0" w:color="auto"/>
        <w:right w:val="none" w:sz="0" w:space="0" w:color="auto"/>
      </w:divBdr>
    </w:div>
    <w:div w:id="1956406333">
      <w:bodyDiv w:val="1"/>
      <w:marLeft w:val="0"/>
      <w:marRight w:val="0"/>
      <w:marTop w:val="0"/>
      <w:marBottom w:val="0"/>
      <w:divBdr>
        <w:top w:val="none" w:sz="0" w:space="0" w:color="auto"/>
        <w:left w:val="none" w:sz="0" w:space="0" w:color="auto"/>
        <w:bottom w:val="none" w:sz="0" w:space="0" w:color="auto"/>
        <w:right w:val="none" w:sz="0" w:space="0" w:color="auto"/>
      </w:divBdr>
    </w:div>
    <w:div w:id="205862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ndesrat.de/bv.html?id=0026-26" TargetMode="External"/><Relationship Id="rId18" Type="http://schemas.openxmlformats.org/officeDocument/2006/relationships/hyperlink" Target="https://www.bundesrat.de/bv.html?id=0043-26" TargetMode="External"/><Relationship Id="rId26" Type="http://schemas.openxmlformats.org/officeDocument/2006/relationships/hyperlink" Target="https://www.bundestag.de/dokumente/textarchiv/2026/kw10-pa-recht-1145370" TargetMode="External"/><Relationship Id="rId39" Type="http://schemas.openxmlformats.org/officeDocument/2006/relationships/hyperlink" Target="https://www.bmjv.de/SharedDocs/Gesetzgebungsverfahren/DE/2025_Menschenhandel.html?nn=110518" TargetMode="External"/><Relationship Id="rId3" Type="http://schemas.openxmlformats.org/officeDocument/2006/relationships/styles" Target="styles.xml"/><Relationship Id="rId21" Type="http://schemas.openxmlformats.org/officeDocument/2006/relationships/hyperlink" Target="https://www.bundesrat.de/bv.html?id=0141-26" TargetMode="External"/><Relationship Id="rId34" Type="http://schemas.openxmlformats.org/officeDocument/2006/relationships/hyperlink" Target="https://www.bmjv.de/SharedDocs/Gesetzgebungsverfahren/DE/2026_Aerztliche_Zwangsmassnahmen.html?nn=110518" TargetMode="External"/><Relationship Id="rId42" Type="http://schemas.openxmlformats.org/officeDocument/2006/relationships/hyperlink" Target="https://www.bmjv.de/SharedDocs/Gesetzgebungsverfahren/DE/2026_AGGAEndG.html?nn=110518" TargetMode="External"/><Relationship Id="rId47" Type="http://schemas.openxmlformats.org/officeDocument/2006/relationships/hyperlink" Target="https://www.bmjv.de/SharedDocs/Gesetzgebungsverfahren/DE/2026_Versorgungsausgleichsrecht.html?nn=110518"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undesrat.de/bv.html?id=0055-26" TargetMode="External"/><Relationship Id="rId17" Type="http://schemas.openxmlformats.org/officeDocument/2006/relationships/hyperlink" Target="https://www.bundesrat.de/bv.html?id=0042-26" TargetMode="External"/><Relationship Id="rId25" Type="http://schemas.openxmlformats.org/officeDocument/2006/relationships/hyperlink" Target="https://www.bundesrat.de/SharedDocs/auschuesse-termine/r/termine-to/20260422-termin.html?nn=4353162" TargetMode="External"/><Relationship Id="rId33" Type="http://schemas.openxmlformats.org/officeDocument/2006/relationships/hyperlink" Target="https://www.bmjv.de/SharedDocs/Gesetzgebungsverfahren/DE/2026_Digitale_Ermittlungsverfahren.html?nn=110518" TargetMode="External"/><Relationship Id="rId38" Type="http://schemas.openxmlformats.org/officeDocument/2006/relationships/hyperlink" Target="https://www.bmjv.de/SharedDocs/Gesetzgebungsverfahren/DE/2025_Schutz_Gemeinwesen.html?nn=110518" TargetMode="External"/><Relationship Id="rId46" Type="http://schemas.openxmlformats.org/officeDocument/2006/relationships/hyperlink" Target="https://www.bmjv.de/SharedDocs/Gesetzgebungsverfahren/DE/2025_IP_Speicherung.html?nn=110518" TargetMode="External"/><Relationship Id="rId2" Type="http://schemas.openxmlformats.org/officeDocument/2006/relationships/numbering" Target="numbering.xml"/><Relationship Id="rId16" Type="http://schemas.openxmlformats.org/officeDocument/2006/relationships/hyperlink" Target="https://www.bundesrat.de/bv.html?id=0131-26" TargetMode="External"/><Relationship Id="rId20" Type="http://schemas.openxmlformats.org/officeDocument/2006/relationships/hyperlink" Target="https://www.bundesrat.de/bv.html?id=0134-26" TargetMode="External"/><Relationship Id="rId29" Type="http://schemas.openxmlformats.org/officeDocument/2006/relationships/hyperlink" Target="https://www.bundestag.de/resource/blob/1161158/21-6-73_AeA_KOA.pdf" TargetMode="External"/><Relationship Id="rId41" Type="http://schemas.openxmlformats.org/officeDocument/2006/relationships/hyperlink" Target="https://www.bmjv.de/SharedDocs/Gesetzgebungsverfahren/DE/2025_Genossenschaftsrecht.html?nn=1105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ndesrat.de/bv.html?id=0084-26" TargetMode="External"/><Relationship Id="rId24" Type="http://schemas.openxmlformats.org/officeDocument/2006/relationships/hyperlink" Target="https://www.bundesrat.de/SharedDocs/TO/1065/to-node.html" TargetMode="External"/><Relationship Id="rId32" Type="http://schemas.openxmlformats.org/officeDocument/2006/relationships/hyperlink" Target="https://www.bmjv.de/SharedDocs/Gesetzgebungsverfahren/DE/2026_BOpfBeG.html?nn=110518" TargetMode="External"/><Relationship Id="rId37" Type="http://schemas.openxmlformats.org/officeDocument/2006/relationships/hyperlink" Target="https://www.bmjv.de/SharedDocs/Gesetzgebungsverfahren/DE/2025_KO_Tropfen.html?nn=110518" TargetMode="External"/><Relationship Id="rId40" Type="http://schemas.openxmlformats.org/officeDocument/2006/relationships/hyperlink" Target="https://www.bmjv.de/SharedDocs/Gesetzgebungsverfahren/DE/2025_IRG_Reform.html?nn=110518" TargetMode="External"/><Relationship Id="rId45" Type="http://schemas.openxmlformats.org/officeDocument/2006/relationships/hyperlink" Target="https://www.bmjv.de/SharedDocs/Gesetzgebungsverfahren/DE/2025_Umweltstrafrecht.html?nn=110518" TargetMode="External"/><Relationship Id="rId5" Type="http://schemas.openxmlformats.org/officeDocument/2006/relationships/webSettings" Target="webSettings.xml"/><Relationship Id="rId15" Type="http://schemas.openxmlformats.org/officeDocument/2006/relationships/hyperlink" Target="https://www.bundesrat.de/bv.html?id=0105-26" TargetMode="External"/><Relationship Id="rId23" Type="http://schemas.openxmlformats.org/officeDocument/2006/relationships/hyperlink" Target="https://www.bundesrat.de/bv.html?id=0170-26" TargetMode="External"/><Relationship Id="rId28" Type="http://schemas.openxmlformats.org/officeDocument/2006/relationships/hyperlink" Target="https://www.bundestag.de/dokumente/textarchiv/2026/kw16-pa-recht-produkthaftung-1164692" TargetMode="External"/><Relationship Id="rId36" Type="http://schemas.openxmlformats.org/officeDocument/2006/relationships/hyperlink" Target="https://www.bmjv.de/SharedDocs/Gesetzgebungsverfahren/DE/2026_Modernisierung_Schiedsverfahrensrecht.html?nn=110518" TargetMode="External"/><Relationship Id="rId49" Type="http://schemas.openxmlformats.org/officeDocument/2006/relationships/hyperlink" Target="https://www.mbeim.nrw/nrw-berlin" TargetMode="External"/><Relationship Id="rId10" Type="http://schemas.openxmlformats.org/officeDocument/2006/relationships/hyperlink" Target="https://www.bundesrat.de/bv.html?id=0083-26" TargetMode="External"/><Relationship Id="rId19" Type="http://schemas.openxmlformats.org/officeDocument/2006/relationships/hyperlink" Target="https://www.bundesrat.de/bv.html?id=0124-26" TargetMode="External"/><Relationship Id="rId31" Type="http://schemas.openxmlformats.org/officeDocument/2006/relationships/hyperlink" Target="https://www.bundestag.de/dokumente/textarchiv/2026/kw17-pa-recht-rechtsber-berufe-1165266" TargetMode="External"/><Relationship Id="rId44" Type="http://schemas.openxmlformats.org/officeDocument/2006/relationships/hyperlink" Target="https://www.bmjv.de/SharedDocs/Gesetzgebungsverfahren/DE/2026_Digitale_Ermittlungsverfahren.html?nn=11051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undesrat.de/bv.html?id=0082-26" TargetMode="External"/><Relationship Id="rId14" Type="http://schemas.openxmlformats.org/officeDocument/2006/relationships/hyperlink" Target="https://www.bundesrat.de/bv.html?id=0039-26" TargetMode="External"/><Relationship Id="rId22" Type="http://schemas.openxmlformats.org/officeDocument/2006/relationships/hyperlink" Target="https://www.bundesrat.de/bv.html?id=0154-26" TargetMode="External"/><Relationship Id="rId27" Type="http://schemas.openxmlformats.org/officeDocument/2006/relationships/hyperlink" Target="https://www.bundestag.de/dokumente/textarchiv/2026/kw12-pa-recht-1151424" TargetMode="External"/><Relationship Id="rId30" Type="http://schemas.openxmlformats.org/officeDocument/2006/relationships/hyperlink" Target="https://www.bundestag.de/dokumente/textarchiv/2026/kw16-pa-recht-nachhaltigkeitsberichterstattung-1164694" TargetMode="External"/><Relationship Id="rId35" Type="http://schemas.openxmlformats.org/officeDocument/2006/relationships/hyperlink" Target="https://www.bmjv.de/SharedDocs/Gesetzgebungsverfahren/DE/2026_VwGOAendG.html?nn=110518" TargetMode="External"/><Relationship Id="rId43" Type="http://schemas.openxmlformats.org/officeDocument/2006/relationships/hyperlink" Target="https://www.bmjv.de/SharedDocs/Gesetzgebungsverfahren/DE/2026_Miete_II.html?nn=110518" TargetMode="External"/><Relationship Id="rId48" Type="http://schemas.openxmlformats.org/officeDocument/2006/relationships/hyperlink" Target="https://www.bmjv.de/SharedDocs/Gesetzgebungsverfahren/DE/2025_Modernisierung_VerpflG_AEnd_EUStAG.html?nn=110518"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1628-2977-442F-9D99-2540C285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5847</Words>
  <Characters>36841</Characters>
  <Application>Microsoft Office Word</Application>
  <DocSecurity>0</DocSecurity>
  <Lines>307</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Joecker, Torsten (LVBUND)</dc:creator>
  <cp:keywords/>
  <dc:description/>
  <cp:lastModifiedBy>Baunach, Julian (LVBUND)</cp:lastModifiedBy>
  <cp:revision>16</cp:revision>
  <cp:lastPrinted>2024-03-04T14:05:00Z</cp:lastPrinted>
  <dcterms:created xsi:type="dcterms:W3CDTF">2026-04-30T05:08:00Z</dcterms:created>
  <dcterms:modified xsi:type="dcterms:W3CDTF">2026-04-30T08:31:00Z</dcterms:modified>
</cp:coreProperties>
</file>